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2B1" w:rsidRPr="006102B1" w:rsidRDefault="0082552C" w:rsidP="004C071C">
      <w:pPr>
        <w:rPr>
          <w:sz w:val="20"/>
          <w:szCs w:val="20"/>
        </w:rPr>
      </w:pPr>
      <w:r w:rsidRPr="006102B1">
        <w:rPr>
          <w:noProof/>
          <w:color w:val="1A092D" w:themeColor="text1"/>
          <w:sz w:val="44"/>
          <w:szCs w:val="44"/>
          <w:lang w:val="en-US"/>
        </w:rPr>
        <mc:AlternateContent>
          <mc:Choice Requires="wps">
            <w:drawing>
              <wp:anchor distT="0" distB="0" distL="114300" distR="114300" simplePos="0" relativeHeight="251659264" behindDoc="1" locked="0" layoutInCell="1" allowOverlap="1" wp14:anchorId="31220061" wp14:editId="00C78FB6">
                <wp:simplePos x="0" y="0"/>
                <wp:positionH relativeFrom="margin">
                  <wp:posOffset>-154940</wp:posOffset>
                </wp:positionH>
                <wp:positionV relativeFrom="page">
                  <wp:posOffset>2400300</wp:posOffset>
                </wp:positionV>
                <wp:extent cx="8420100" cy="1238250"/>
                <wp:effectExtent l="0" t="0" r="0" b="0"/>
                <wp:wrapTight wrapText="bothSides">
                  <wp:wrapPolygon edited="0">
                    <wp:start x="98" y="0"/>
                    <wp:lineTo x="98" y="21268"/>
                    <wp:lineTo x="21453" y="21268"/>
                    <wp:lineTo x="21453" y="0"/>
                    <wp:lineTo x="98" y="0"/>
                  </wp:wrapPolygon>
                </wp:wrapTight>
                <wp:docPr id="1" name="Text Box 1"/>
                <wp:cNvGraphicFramePr/>
                <a:graphic xmlns:a="http://schemas.openxmlformats.org/drawingml/2006/main">
                  <a:graphicData uri="http://schemas.microsoft.com/office/word/2010/wordprocessingShape">
                    <wps:wsp>
                      <wps:cNvSpPr txBox="1"/>
                      <wps:spPr>
                        <a:xfrm>
                          <a:off x="0" y="0"/>
                          <a:ext cx="8420100" cy="12382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2552C" w:rsidRPr="0082552C" w:rsidRDefault="001F24CF" w:rsidP="0082552C">
                            <w:pPr>
                              <w:pStyle w:val="Heading1"/>
                              <w:rPr>
                                <w:color w:val="FFFFFF"/>
                              </w:rPr>
                            </w:pPr>
                            <w:r>
                              <w:rPr>
                                <w:color w:val="FFFFFF"/>
                                <w:szCs w:val="50"/>
                              </w:rPr>
                              <w:t>Community Partners Update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220061" id="_x0000_t202" coordsize="21600,21600" o:spt="202" path="m,l,21600r21600,l21600,xe">
                <v:stroke joinstyle="miter"/>
                <v:path gradientshapeok="t" o:connecttype="rect"/>
              </v:shapetype>
              <v:shape id="Text Box 1" o:spid="_x0000_s1026" type="#_x0000_t202" style="position:absolute;margin-left:-12.2pt;margin-top:189pt;width:663pt;height:9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i7FqgIAAKQ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" filled="f" stroked="f">
                <v:textbox>
                  <w:txbxContent>
                    <w:p w:rsidR="0082552C" w:rsidRPr="0082552C" w:rsidRDefault="001F24CF" w:rsidP="0082552C">
                      <w:pPr>
                        <w:pStyle w:val="Heading1"/>
                        <w:rPr>
                          <w:color w:val="FFFFFF"/>
                        </w:rPr>
                      </w:pPr>
                      <w:r>
                        <w:rPr>
                          <w:color w:val="FFFFFF"/>
                          <w:szCs w:val="50"/>
                        </w:rPr>
                        <w:t>Community Partners Update</w:t>
                      </w:r>
                    </w:p>
                  </w:txbxContent>
                </v:textbox>
                <w10:wrap type="tight" anchorx="margin" anchory="page"/>
              </v:shape>
            </w:pict>
          </mc:Fallback>
        </mc:AlternateContent>
      </w:r>
      <w:bookmarkStart w:id="0" w:name="_Toc11429371"/>
      <w:r w:rsidR="00591A7E" w:rsidRPr="006102B1">
        <w:rPr>
          <w:sz w:val="44"/>
          <w:szCs w:val="44"/>
        </w:rPr>
        <w:t>H</w:t>
      </w:r>
      <w:bookmarkEnd w:id="0"/>
      <w:r w:rsidR="001F24CF" w:rsidRPr="006102B1">
        <w:rPr>
          <w:sz w:val="44"/>
          <w:szCs w:val="44"/>
        </w:rPr>
        <w:t>ollard</w:t>
      </w:r>
      <w:r w:rsidR="006102B1" w:rsidRPr="006102B1">
        <w:rPr>
          <w:sz w:val="44"/>
          <w:szCs w:val="44"/>
        </w:rPr>
        <w:t xml:space="preserve"> Personal Insurance now on SVU</w:t>
      </w:r>
      <w:r w:rsidR="006102B1" w:rsidRPr="006102B1">
        <w:rPr>
          <w:sz w:val="44"/>
          <w:szCs w:val="44"/>
        </w:rPr>
        <w:br/>
      </w:r>
      <w:r w:rsidR="006102B1" w:rsidRPr="006102B1">
        <w:rPr>
          <w:sz w:val="20"/>
          <w:szCs w:val="20"/>
        </w:rPr>
        <w:t>Hollard Personal Insurance replaced AIG on the Steadfast Direct SVU platform for personal lines business effective 16th December 2019.</w:t>
      </w:r>
    </w:p>
    <w:p w:rsidR="006102B1" w:rsidRPr="006102B1" w:rsidRDefault="006102B1" w:rsidP="004C071C">
      <w:pPr>
        <w:rPr>
          <w:sz w:val="20"/>
          <w:szCs w:val="20"/>
        </w:rPr>
      </w:pPr>
      <w:r w:rsidRPr="006102B1">
        <w:rPr>
          <w:sz w:val="20"/>
          <w:szCs w:val="20"/>
        </w:rPr>
        <w:t xml:space="preserve">Hollard Personal Insurance are a separate subsidiary to </w:t>
      </w:r>
      <w:proofErr w:type="spellStart"/>
      <w:r w:rsidRPr="006102B1">
        <w:rPr>
          <w:sz w:val="20"/>
          <w:szCs w:val="20"/>
        </w:rPr>
        <w:t>HCi</w:t>
      </w:r>
      <w:proofErr w:type="spellEnd"/>
      <w:r w:rsidRPr="006102B1">
        <w:rPr>
          <w:sz w:val="20"/>
          <w:szCs w:val="20"/>
        </w:rPr>
        <w:t>, and whilst they are now on SCTP in place of AIG, they did not purchase the AIG book.</w:t>
      </w:r>
    </w:p>
    <w:p w:rsidR="006102B1" w:rsidRPr="006102B1" w:rsidRDefault="006102B1" w:rsidP="004C071C">
      <w:pPr>
        <w:rPr>
          <w:sz w:val="20"/>
          <w:szCs w:val="20"/>
        </w:rPr>
      </w:pPr>
      <w:r w:rsidRPr="006102B1">
        <w:rPr>
          <w:sz w:val="20"/>
          <w:szCs w:val="20"/>
        </w:rPr>
        <w:t>This means that Hollard Personal Insurance have their own underwriting guidelines and rates and are not matching appetite or pricing the same as the AIG portfolio.</w:t>
      </w:r>
    </w:p>
    <w:p w:rsidR="006102B1" w:rsidRPr="006102B1" w:rsidRDefault="006102B1" w:rsidP="004C071C">
      <w:pPr>
        <w:rPr>
          <w:sz w:val="20"/>
          <w:szCs w:val="20"/>
        </w:rPr>
      </w:pPr>
      <w:r w:rsidRPr="006102B1">
        <w:rPr>
          <w:sz w:val="20"/>
          <w:szCs w:val="20"/>
        </w:rPr>
        <w:t>Please refer to the Hollard Personal Insurance contacts below for further information:</w:t>
      </w:r>
    </w:p>
    <w:p w:rsidR="006102B1" w:rsidRPr="006102B1" w:rsidRDefault="006102B1" w:rsidP="004C071C">
      <w:pPr>
        <w:rPr>
          <w:sz w:val="20"/>
          <w:szCs w:val="20"/>
        </w:rPr>
      </w:pPr>
      <w:r w:rsidRPr="006102B1">
        <w:rPr>
          <w:sz w:val="20"/>
          <w:szCs w:val="20"/>
        </w:rPr>
        <w:t xml:space="preserve">Hotline: </w:t>
      </w:r>
      <w:r w:rsidRPr="006102B1">
        <w:rPr>
          <w:b/>
          <w:bCs/>
          <w:sz w:val="20"/>
          <w:szCs w:val="20"/>
        </w:rPr>
        <w:t>1300 020 287.</w:t>
      </w:r>
      <w:r w:rsidRPr="006102B1">
        <w:rPr>
          <w:sz w:val="20"/>
          <w:szCs w:val="20"/>
        </w:rPr>
        <w:t xml:space="preserve"> </w:t>
      </w:r>
    </w:p>
    <w:p w:rsidR="006102B1" w:rsidRPr="006102B1" w:rsidRDefault="006102B1" w:rsidP="004C071C">
      <w:pPr>
        <w:rPr>
          <w:sz w:val="20"/>
          <w:szCs w:val="20"/>
        </w:rPr>
      </w:pPr>
      <w:r w:rsidRPr="006102B1">
        <w:rPr>
          <w:sz w:val="20"/>
          <w:szCs w:val="20"/>
        </w:rPr>
        <w:t xml:space="preserve">Available from 8:30am to 5pm Monday to Friday (Australian Eastern Time) for all broker support, underwriting queries and existing claims, and 24/7 for afterhours emergencies. </w:t>
      </w:r>
    </w:p>
    <w:p w:rsidR="006102B1" w:rsidRPr="006102B1" w:rsidRDefault="006102B1" w:rsidP="004C071C">
      <w:pPr>
        <w:rPr>
          <w:sz w:val="20"/>
          <w:szCs w:val="20"/>
        </w:rPr>
      </w:pPr>
      <w:r w:rsidRPr="006102B1">
        <w:rPr>
          <w:sz w:val="20"/>
          <w:szCs w:val="20"/>
        </w:rPr>
        <w:t xml:space="preserve">General support and enquiries: </w:t>
      </w:r>
      <w:hyperlink r:id="rId11" w:history="1">
        <w:r w:rsidRPr="006102B1">
          <w:rPr>
            <w:rStyle w:val="Hyperlink"/>
            <w:b/>
            <w:sz w:val="20"/>
            <w:szCs w:val="20"/>
          </w:rPr>
          <w:t>connect@hollardinsurance.com.au</w:t>
        </w:r>
      </w:hyperlink>
      <w:r w:rsidRPr="006102B1">
        <w:rPr>
          <w:sz w:val="20"/>
          <w:szCs w:val="20"/>
        </w:rPr>
        <w:t xml:space="preserve">  </w:t>
      </w:r>
    </w:p>
    <w:p w:rsidR="006102B1" w:rsidRPr="006102B1" w:rsidRDefault="006102B1" w:rsidP="004C071C">
      <w:pPr>
        <w:rPr>
          <w:sz w:val="20"/>
          <w:szCs w:val="20"/>
        </w:rPr>
      </w:pPr>
      <w:r w:rsidRPr="006102B1">
        <w:rPr>
          <w:sz w:val="20"/>
          <w:szCs w:val="20"/>
        </w:rPr>
        <w:t xml:space="preserve">Underwriting: </w:t>
      </w:r>
      <w:hyperlink r:id="rId12" w:history="1">
        <w:r w:rsidRPr="006102B1">
          <w:rPr>
            <w:rStyle w:val="Hyperlink"/>
            <w:b/>
            <w:sz w:val="20"/>
            <w:szCs w:val="20"/>
          </w:rPr>
          <w:t>underwriting@hollardinsurance.com.au</w:t>
        </w:r>
      </w:hyperlink>
      <w:r w:rsidRPr="006102B1">
        <w:rPr>
          <w:sz w:val="20"/>
          <w:szCs w:val="20"/>
        </w:rPr>
        <w:t xml:space="preserve">  </w:t>
      </w:r>
    </w:p>
    <w:p w:rsidR="006102B1" w:rsidRPr="006102B1" w:rsidRDefault="006102B1" w:rsidP="004C071C">
      <w:pPr>
        <w:rPr>
          <w:sz w:val="20"/>
          <w:szCs w:val="20"/>
        </w:rPr>
      </w:pPr>
      <w:r w:rsidRPr="006102B1">
        <w:rPr>
          <w:sz w:val="20"/>
          <w:szCs w:val="20"/>
        </w:rPr>
        <w:t xml:space="preserve">Claims: </w:t>
      </w:r>
      <w:hyperlink r:id="rId13" w:history="1">
        <w:r w:rsidRPr="006102B1">
          <w:rPr>
            <w:rStyle w:val="Hyperlink"/>
            <w:b/>
            <w:sz w:val="20"/>
            <w:szCs w:val="20"/>
          </w:rPr>
          <w:t>claims@hollardinsurance.com.au</w:t>
        </w:r>
      </w:hyperlink>
      <w:r w:rsidRPr="006102B1">
        <w:rPr>
          <w:sz w:val="20"/>
          <w:szCs w:val="20"/>
        </w:rPr>
        <w:t xml:space="preserve"> </w:t>
      </w:r>
    </w:p>
    <w:p w:rsidR="006102B1" w:rsidRPr="006102B1" w:rsidRDefault="006102B1" w:rsidP="004C071C">
      <w:pPr>
        <w:rPr>
          <w:sz w:val="20"/>
          <w:szCs w:val="20"/>
        </w:rPr>
      </w:pPr>
      <w:r w:rsidRPr="006102B1">
        <w:rPr>
          <w:sz w:val="20"/>
          <w:szCs w:val="20"/>
        </w:rPr>
        <w:t xml:space="preserve">The Claims team can be contacted Monday – Friday between 8:30am to 5pm on 1300 020 287, or you can access claim forms online at </w:t>
      </w:r>
      <w:hyperlink r:id="rId14" w:history="1">
        <w:r w:rsidRPr="006102B1">
          <w:rPr>
            <w:rStyle w:val="Hyperlink"/>
            <w:b/>
            <w:sz w:val="20"/>
            <w:szCs w:val="20"/>
          </w:rPr>
          <w:t>www.hollardinsurance.com.au</w:t>
        </w:r>
      </w:hyperlink>
      <w:r w:rsidRPr="006102B1">
        <w:rPr>
          <w:b/>
          <w:bCs/>
          <w:sz w:val="20"/>
          <w:szCs w:val="20"/>
        </w:rPr>
        <w:t>.</w:t>
      </w:r>
      <w:r w:rsidRPr="006102B1">
        <w:rPr>
          <w:sz w:val="20"/>
          <w:szCs w:val="20"/>
        </w:rPr>
        <w:t xml:space="preserve"> </w:t>
      </w:r>
    </w:p>
    <w:p w:rsidR="006102B1" w:rsidRDefault="006102B1" w:rsidP="004C071C">
      <w:pPr>
        <w:rPr>
          <w:sz w:val="20"/>
          <w:szCs w:val="20"/>
        </w:rPr>
      </w:pPr>
      <w:r w:rsidRPr="006102B1">
        <w:rPr>
          <w:sz w:val="20"/>
          <w:szCs w:val="20"/>
        </w:rPr>
        <w:t>For afterhours emergencies please call the same number and select 9.</w:t>
      </w:r>
    </w:p>
    <w:p w:rsidR="006102B1" w:rsidRDefault="006102B1" w:rsidP="006102B1">
      <w:pPr>
        <w:spacing w:line="360" w:lineRule="auto"/>
        <w:rPr>
          <w:sz w:val="20"/>
          <w:szCs w:val="20"/>
        </w:rPr>
      </w:pPr>
    </w:p>
    <w:p w:rsidR="006102B1" w:rsidRDefault="006102B1" w:rsidP="006102B1">
      <w:pPr>
        <w:pStyle w:val="Heading1"/>
      </w:pPr>
      <w:r>
        <w:t>Building Sum Insured safeguard – Catastrophic Events</w:t>
      </w:r>
    </w:p>
    <w:p w:rsidR="006102B1" w:rsidRPr="004C071C" w:rsidRDefault="006102B1" w:rsidP="004C071C">
      <w:pPr>
        <w:rPr>
          <w:sz w:val="20"/>
          <w:szCs w:val="20"/>
        </w:rPr>
      </w:pPr>
      <w:r w:rsidRPr="004C071C">
        <w:rPr>
          <w:sz w:val="20"/>
          <w:szCs w:val="20"/>
        </w:rPr>
        <w:t>With the recent and continuing bushfires that have devastated many parts of Australia, we’ve seen the very best of Australian spirit with many generously giving time, resources and cash donations to those in crisis. We have also experienced that same spirit with our insurer partners and CBN brokers who have responded quickly and efficiently to support our affected customers.</w:t>
      </w:r>
    </w:p>
    <w:p w:rsidR="006102B1" w:rsidRPr="004C071C" w:rsidRDefault="006102B1" w:rsidP="004C071C">
      <w:pPr>
        <w:rPr>
          <w:rFonts w:cstheme="minorHAnsi"/>
          <w:color w:val="000000"/>
          <w:sz w:val="20"/>
          <w:szCs w:val="20"/>
        </w:rPr>
      </w:pPr>
      <w:r w:rsidRPr="004C071C">
        <w:rPr>
          <w:rFonts w:cstheme="minorHAnsi"/>
          <w:color w:val="000000"/>
          <w:sz w:val="20"/>
          <w:szCs w:val="20"/>
        </w:rPr>
        <w:lastRenderedPageBreak/>
        <w:t>*Underinsurance following a total loss affects many Australians according to a study commissioned by Understand Insurance in 2013, with 40% of homes insured according to home owner’s own evaluation.</w:t>
      </w:r>
    </w:p>
    <w:p w:rsidR="006102B1" w:rsidRPr="004C071C" w:rsidRDefault="006102B1" w:rsidP="004C071C">
      <w:pPr>
        <w:rPr>
          <w:rFonts w:eastAsia="Times New Roman" w:cstheme="minorHAnsi"/>
          <w:color w:val="000000"/>
          <w:sz w:val="20"/>
          <w:szCs w:val="20"/>
          <w:lang w:eastAsia="en-AU"/>
        </w:rPr>
      </w:pPr>
      <w:r w:rsidRPr="004C071C">
        <w:rPr>
          <w:rFonts w:cstheme="minorHAnsi"/>
          <w:color w:val="000000"/>
          <w:sz w:val="20"/>
          <w:szCs w:val="20"/>
        </w:rPr>
        <w:t xml:space="preserve">Steadfast Home Insurance policy wordings provide best in class coverage including a </w:t>
      </w:r>
      <w:r w:rsidRPr="004C071C">
        <w:rPr>
          <w:rFonts w:eastAsia="Times New Roman" w:cstheme="minorHAnsi"/>
          <w:color w:val="000000"/>
          <w:sz w:val="20"/>
          <w:szCs w:val="20"/>
          <w:lang w:eastAsia="en-AU"/>
        </w:rPr>
        <w:t>Building Sum Insured Safeguard which can be triggered following the recent bushfire and hail storm catastrophic events.</w:t>
      </w:r>
    </w:p>
    <w:p w:rsidR="006102B1" w:rsidRPr="004C071C" w:rsidRDefault="006102B1" w:rsidP="004C071C">
      <w:pPr>
        <w:rPr>
          <w:rFonts w:eastAsia="Times New Roman" w:cstheme="minorHAnsi"/>
          <w:b/>
          <w:color w:val="000000"/>
          <w:sz w:val="20"/>
          <w:szCs w:val="20"/>
          <w:lang w:eastAsia="en-AU"/>
        </w:rPr>
      </w:pPr>
      <w:r w:rsidRPr="004C071C">
        <w:rPr>
          <w:rFonts w:eastAsia="Times New Roman" w:cstheme="minorHAnsi"/>
          <w:color w:val="000000"/>
          <w:sz w:val="20"/>
          <w:szCs w:val="20"/>
          <w:lang w:eastAsia="en-AU"/>
        </w:rPr>
        <w:t>If the cost of repairing or replacing the Building exceeds the Sum Insured the Insurer will pay up to 30% more than the SI provided (a) the policy insured the Insured's Building (b) the Building is so damaged by an insured event that it is considered a total loss and (c) the repair costs are greater than the Sum Insured due to (</w:t>
      </w:r>
      <w:proofErr w:type="spellStart"/>
      <w:r w:rsidRPr="004C071C">
        <w:rPr>
          <w:rFonts w:eastAsia="Times New Roman" w:cstheme="minorHAnsi"/>
          <w:color w:val="000000"/>
          <w:sz w:val="20"/>
          <w:szCs w:val="20"/>
          <w:lang w:eastAsia="en-AU"/>
        </w:rPr>
        <w:t>i</w:t>
      </w:r>
      <w:proofErr w:type="spellEnd"/>
      <w:r w:rsidRPr="004C071C">
        <w:rPr>
          <w:rFonts w:eastAsia="Times New Roman" w:cstheme="minorHAnsi"/>
          <w:color w:val="000000"/>
          <w:sz w:val="20"/>
          <w:szCs w:val="20"/>
          <w:lang w:eastAsia="en-AU"/>
        </w:rPr>
        <w:t xml:space="preserve">) </w:t>
      </w:r>
      <w:r w:rsidRPr="004C071C">
        <w:rPr>
          <w:rFonts w:eastAsia="Times New Roman" w:cstheme="minorHAnsi"/>
          <w:b/>
          <w:color w:val="000000"/>
          <w:sz w:val="20"/>
          <w:szCs w:val="20"/>
          <w:lang w:eastAsia="en-AU"/>
        </w:rPr>
        <w:t>the increased cost being as a result of a catastrophic event</w:t>
      </w:r>
      <w:r w:rsidRPr="004C071C">
        <w:rPr>
          <w:rFonts w:eastAsia="Times New Roman" w:cstheme="minorHAnsi"/>
          <w:color w:val="000000"/>
          <w:sz w:val="20"/>
          <w:szCs w:val="20"/>
          <w:lang w:eastAsia="en-AU"/>
        </w:rPr>
        <w:t xml:space="preserve"> or (ii) the </w:t>
      </w:r>
      <w:r w:rsidRPr="004C071C">
        <w:rPr>
          <w:rFonts w:eastAsia="Times New Roman" w:cstheme="minorHAnsi"/>
          <w:b/>
          <w:color w:val="000000"/>
          <w:sz w:val="20"/>
          <w:szCs w:val="20"/>
          <w:lang w:eastAsia="en-AU"/>
        </w:rPr>
        <w:t xml:space="preserve">Insured’ broker correctly used the Insurer or Cordell Building Calculator to calculate the Sum Insured . </w:t>
      </w:r>
    </w:p>
    <w:p w:rsidR="006102B1" w:rsidRPr="004C071C" w:rsidRDefault="006102B1" w:rsidP="004C071C">
      <w:pPr>
        <w:pStyle w:val="Pa3"/>
        <w:spacing w:after="100" w:line="240" w:lineRule="auto"/>
        <w:rPr>
          <w:rFonts w:ascii="Verdana" w:hAnsi="Verdana" w:cstheme="minorHAnsi"/>
          <w:color w:val="000000"/>
          <w:sz w:val="20"/>
          <w:szCs w:val="20"/>
        </w:rPr>
      </w:pPr>
      <w:r w:rsidRPr="004C071C">
        <w:rPr>
          <w:rFonts w:ascii="Verdana" w:hAnsi="Verdana" w:cstheme="minorHAnsi"/>
          <w:color w:val="000000"/>
          <w:sz w:val="20"/>
          <w:szCs w:val="20"/>
        </w:rPr>
        <w:t>For the purposes of this ‘Buildings sum insured safeguard’, a ‘</w:t>
      </w:r>
      <w:r w:rsidRPr="004C071C">
        <w:rPr>
          <w:rFonts w:ascii="Verdana" w:hAnsi="Verdana" w:cstheme="minorHAnsi"/>
          <w:b/>
          <w:bCs/>
          <w:color w:val="000000"/>
          <w:sz w:val="20"/>
          <w:szCs w:val="20"/>
        </w:rPr>
        <w:t>Catastrophic Event</w:t>
      </w:r>
      <w:r w:rsidRPr="004C071C">
        <w:rPr>
          <w:rFonts w:ascii="Verdana" w:hAnsi="Verdana" w:cstheme="minorHAnsi"/>
          <w:color w:val="000000"/>
          <w:sz w:val="20"/>
          <w:szCs w:val="20"/>
        </w:rPr>
        <w:t>’ means a suddenly occurring, major, natural disaster that is covered under the policy, where the resultant loss or damage to property in the vicinity of your Buildings is so extensive and widespread that the consequent increase in demand for the materials and labour required to repair buildings causes a material increase in the cost of those materials and labour.</w:t>
      </w:r>
    </w:p>
    <w:p w:rsidR="006102B1" w:rsidRPr="004C071C" w:rsidRDefault="006102B1" w:rsidP="004C071C">
      <w:pPr>
        <w:rPr>
          <w:sz w:val="20"/>
          <w:szCs w:val="20"/>
        </w:rPr>
      </w:pPr>
      <w:r w:rsidRPr="004C071C">
        <w:rPr>
          <w:rFonts w:cstheme="minorHAnsi"/>
          <w:color w:val="000000"/>
          <w:sz w:val="20"/>
          <w:szCs w:val="20"/>
        </w:rPr>
        <w:t>Steadfast also provides you with fre</w:t>
      </w:r>
      <w:bookmarkStart w:id="1" w:name="_GoBack"/>
      <w:bookmarkEnd w:id="1"/>
      <w:r w:rsidRPr="004C071C">
        <w:rPr>
          <w:rFonts w:cstheme="minorHAnsi"/>
          <w:color w:val="000000"/>
          <w:sz w:val="20"/>
          <w:szCs w:val="20"/>
        </w:rPr>
        <w:t xml:space="preserve">e subscriptions to the below property sum insured calculators on the </w:t>
      </w:r>
      <w:hyperlink r:id="rId15" w:tgtFrame="_blank" w:history="1">
        <w:r w:rsidRPr="004C071C">
          <w:rPr>
            <w:rStyle w:val="Hyperlink"/>
            <w:rFonts w:cstheme="minorHAnsi"/>
            <w:b/>
            <w:color w:val="2CA692" w:themeColor="accent6"/>
            <w:sz w:val="20"/>
            <w:szCs w:val="20"/>
          </w:rPr>
          <w:t>Sum Insured Calculators</w:t>
        </w:r>
      </w:hyperlink>
      <w:r w:rsidRPr="004C071C">
        <w:rPr>
          <w:rFonts w:cstheme="minorHAnsi"/>
          <w:color w:val="000000"/>
          <w:sz w:val="20"/>
          <w:szCs w:val="20"/>
        </w:rPr>
        <w:t xml:space="preserve"> page on the Steadfast website. We strongly encourage you and your clients to use these tools on a regular basis to help reduce/prevent underinsurance.</w:t>
      </w:r>
      <w:r w:rsidRPr="004C071C">
        <w:rPr>
          <w:rFonts w:cstheme="minorHAnsi"/>
          <w:color w:val="000000"/>
          <w:sz w:val="20"/>
          <w:szCs w:val="20"/>
        </w:rPr>
        <w:br/>
        <w:t xml:space="preserve">o </w:t>
      </w:r>
      <w:r w:rsidRPr="004C071C">
        <w:rPr>
          <w:rFonts w:cstheme="minorHAnsi"/>
          <w:b/>
          <w:bCs/>
          <w:color w:val="000000"/>
          <w:sz w:val="20"/>
          <w:szCs w:val="20"/>
        </w:rPr>
        <w:t>Residential Home Building sum insured calculator (also known as the ‘Cordell Residential Valuer’)</w:t>
      </w:r>
      <w:r w:rsidRPr="004C071C">
        <w:rPr>
          <w:rFonts w:cstheme="minorHAnsi"/>
          <w:color w:val="000000"/>
          <w:sz w:val="20"/>
          <w:szCs w:val="20"/>
        </w:rPr>
        <w:t xml:space="preserve"> – hosted by CoreLogic</w:t>
      </w:r>
      <w:r w:rsidRPr="004C071C">
        <w:rPr>
          <w:rFonts w:cstheme="minorHAnsi"/>
          <w:color w:val="000000"/>
          <w:sz w:val="20"/>
          <w:szCs w:val="20"/>
        </w:rPr>
        <w:br/>
        <w:t xml:space="preserve">o </w:t>
      </w:r>
      <w:r w:rsidRPr="004C071C">
        <w:rPr>
          <w:rFonts w:cstheme="minorHAnsi"/>
          <w:b/>
          <w:bCs/>
          <w:color w:val="000000"/>
          <w:sz w:val="20"/>
          <w:szCs w:val="20"/>
        </w:rPr>
        <w:t>Commercial Building sum insured calculator</w:t>
      </w:r>
      <w:r w:rsidRPr="004C071C">
        <w:rPr>
          <w:rFonts w:cstheme="minorHAnsi"/>
          <w:color w:val="000000"/>
          <w:sz w:val="20"/>
          <w:szCs w:val="20"/>
        </w:rPr>
        <w:t xml:space="preserve"> – hosted by CoreLogic</w:t>
      </w:r>
      <w:r w:rsidRPr="004C071C">
        <w:rPr>
          <w:rFonts w:cstheme="minorHAnsi"/>
          <w:color w:val="000000"/>
          <w:sz w:val="20"/>
          <w:szCs w:val="20"/>
        </w:rPr>
        <w:br/>
        <w:t xml:space="preserve">o </w:t>
      </w:r>
      <w:r w:rsidRPr="004C071C">
        <w:rPr>
          <w:rFonts w:cstheme="minorHAnsi"/>
          <w:b/>
          <w:bCs/>
          <w:color w:val="000000"/>
          <w:sz w:val="20"/>
          <w:szCs w:val="20"/>
        </w:rPr>
        <w:t>Home Contents Sum Insured Calculator</w:t>
      </w:r>
      <w:r w:rsidRPr="004C071C">
        <w:rPr>
          <w:rFonts w:cstheme="minorHAnsi"/>
          <w:color w:val="000000"/>
          <w:sz w:val="20"/>
          <w:szCs w:val="20"/>
        </w:rPr>
        <w:t xml:space="preserve"> – hosted by Sum Insured</w:t>
      </w:r>
      <w:r w:rsidRPr="004C071C">
        <w:rPr>
          <w:rFonts w:cstheme="minorHAnsi"/>
          <w:color w:val="000000"/>
          <w:sz w:val="20"/>
          <w:szCs w:val="20"/>
        </w:rPr>
        <w:br/>
        <w:t xml:space="preserve">• Steadfast contact – Catherine Pettitt – </w:t>
      </w:r>
      <w:hyperlink r:id="rId16" w:history="1">
        <w:r w:rsidRPr="004C071C">
          <w:rPr>
            <w:rStyle w:val="Hyperlink"/>
            <w:rFonts w:cstheme="minorHAnsi"/>
            <w:color w:val="2CA692" w:themeColor="accent6"/>
            <w:sz w:val="20"/>
            <w:szCs w:val="20"/>
          </w:rPr>
          <w:t>catherine@steadfast.com.au</w:t>
        </w:r>
      </w:hyperlink>
      <w:r w:rsidRPr="004C071C">
        <w:rPr>
          <w:rFonts w:cstheme="minorHAnsi"/>
          <w:color w:val="000000"/>
          <w:sz w:val="20"/>
          <w:szCs w:val="20"/>
        </w:rPr>
        <w:t xml:space="preserve"> – 02 9495 6509.</w:t>
      </w:r>
    </w:p>
    <w:p w:rsidR="006102B1" w:rsidRDefault="006102B1" w:rsidP="006102B1">
      <w:pPr>
        <w:rPr>
          <w:b/>
          <w:sz w:val="28"/>
          <w:szCs w:val="28"/>
        </w:rPr>
      </w:pPr>
    </w:p>
    <w:p w:rsidR="006102B1" w:rsidRDefault="006102B1" w:rsidP="006102B1">
      <w:pPr>
        <w:pStyle w:val="Heading1"/>
      </w:pPr>
      <w:r>
        <w:t>ESL Update</w:t>
      </w:r>
    </w:p>
    <w:p w:rsidR="006102B1" w:rsidRPr="006102B1" w:rsidRDefault="006102B1" w:rsidP="004C071C">
      <w:pPr>
        <w:rPr>
          <w:rFonts w:cstheme="minorHAnsi"/>
          <w:color w:val="000000"/>
          <w:sz w:val="20"/>
          <w:szCs w:val="20"/>
        </w:rPr>
      </w:pPr>
      <w:r w:rsidRPr="006102B1">
        <w:rPr>
          <w:rFonts w:cstheme="minorHAnsi"/>
          <w:color w:val="000000"/>
          <w:sz w:val="20"/>
          <w:szCs w:val="20"/>
        </w:rPr>
        <w:t>Insurers are required to collect the insurance-based emergency services levy (ESL) on behalf of the New South Wales State Government. The levy provides the bulk of the funding for the State's fire and emergency services. </w:t>
      </w:r>
    </w:p>
    <w:p w:rsidR="006102B1" w:rsidRPr="006102B1" w:rsidRDefault="006102B1" w:rsidP="004C071C">
      <w:pPr>
        <w:rPr>
          <w:rFonts w:cstheme="minorHAnsi"/>
          <w:color w:val="000000"/>
          <w:sz w:val="20"/>
          <w:szCs w:val="20"/>
        </w:rPr>
      </w:pPr>
      <w:r w:rsidRPr="006102B1">
        <w:rPr>
          <w:rFonts w:cstheme="minorHAnsi"/>
          <w:color w:val="000000"/>
          <w:sz w:val="20"/>
          <w:szCs w:val="20"/>
        </w:rPr>
        <w:t>Please ensure you keep across the changes and notices by referring to the regular updates from our insurer partners or refer to the Steadfast Website Compliance News section where all notices regarding ESL changes are provided in one place for your reference:</w:t>
      </w:r>
    </w:p>
    <w:p w:rsidR="006102B1" w:rsidRPr="006102B1" w:rsidRDefault="00623409" w:rsidP="004C071C">
      <w:pPr>
        <w:rPr>
          <w:rFonts w:cstheme="minorHAnsi"/>
          <w:color w:val="000000"/>
          <w:sz w:val="20"/>
          <w:szCs w:val="20"/>
        </w:rPr>
      </w:pPr>
      <w:hyperlink r:id="rId17" w:history="1">
        <w:r w:rsidR="006102B1" w:rsidRPr="006102B1">
          <w:rPr>
            <w:rStyle w:val="Hyperlink"/>
            <w:rFonts w:cstheme="minorHAnsi"/>
            <w:sz w:val="20"/>
            <w:szCs w:val="20"/>
          </w:rPr>
          <w:t>www.steadfast.com.au/news/compliance</w:t>
        </w:r>
      </w:hyperlink>
    </w:p>
    <w:p w:rsidR="00591A7E" w:rsidRDefault="00591A7E" w:rsidP="00E338EB">
      <w:pPr>
        <w:pStyle w:val="Heading1"/>
        <w:rPr>
          <w:sz w:val="44"/>
          <w:szCs w:val="44"/>
        </w:rPr>
      </w:pPr>
    </w:p>
    <w:p w:rsidR="006102B1" w:rsidRPr="006102B1" w:rsidRDefault="006102B1" w:rsidP="006102B1"/>
    <w:p w:rsidR="003448CB" w:rsidRPr="003448CB" w:rsidRDefault="003448CB" w:rsidP="00E338EB">
      <w:pPr>
        <w:rPr>
          <w:lang w:val="en-US"/>
        </w:rPr>
      </w:pPr>
    </w:p>
    <w:sectPr w:rsidR="003448CB" w:rsidRPr="003448CB" w:rsidSect="0082552C">
      <w:headerReference w:type="default" r:id="rId18"/>
      <w:footerReference w:type="even" r:id="rId19"/>
      <w:footerReference w:type="default" r:id="rId20"/>
      <w:headerReference w:type="first" r:id="rId21"/>
      <w:pgSz w:w="11900" w:h="16840"/>
      <w:pgMar w:top="2183" w:right="1694" w:bottom="993" w:left="964"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3409" w:rsidRDefault="00623409" w:rsidP="00A605CC">
      <w:pPr>
        <w:spacing w:before="0" w:after="0"/>
      </w:pPr>
      <w:r>
        <w:separator/>
      </w:r>
    </w:p>
  </w:endnote>
  <w:endnote w:type="continuationSeparator" w:id="0">
    <w:p w:rsidR="00623409" w:rsidRDefault="00623409" w:rsidP="00A605C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Bold">
    <w:charset w:val="00"/>
    <w:family w:val="auto"/>
    <w:pitch w:val="variable"/>
    <w:sig w:usb0="A00000AF" w:usb1="5000604B" w:usb2="00000000" w:usb3="00000000" w:csb0="00000093"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Open Sans Regular">
    <w:charset w:val="00"/>
    <w:family w:val="auto"/>
    <w:pitch w:val="variable"/>
    <w:sig w:usb0="E00002EF" w:usb1="4000205B" w:usb2="00000028" w:usb3="00000000" w:csb0="0000019F" w:csb1="00000000"/>
  </w:font>
  <w:font w:name="MinionPro-Regular">
    <w:altName w:val="Calibri"/>
    <w:charset w:val="00"/>
    <w:family w:val="roman"/>
    <w:pitch w:val="variable"/>
    <w:sig w:usb0="60000287" w:usb1="00000001" w:usb2="00000000" w:usb3="00000000" w:csb0="0000019F" w:csb1="00000000"/>
  </w:font>
  <w:font w:name="Lucida Grande">
    <w:altName w:val="Segoe UI"/>
    <w:charset w:val="00"/>
    <w:family w:val="auto"/>
    <w:pitch w:val="variable"/>
    <w:sig w:usb0="E1000AEF" w:usb1="5000A1FF" w:usb2="00000000" w:usb3="00000000" w:csb0="000001BF" w:csb1="00000000"/>
  </w:font>
  <w:font w:name="Roboto">
    <w:altName w:val="Robot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E370B7" w:rsidRDefault="00E370B7" w:rsidP="00E370B7">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70B7" w:rsidRDefault="00E370B7" w:rsidP="0087753C">
    <w:pPr>
      <w:pStyle w:val="Footer"/>
      <w:framePr w:wrap="around" w:vAnchor="text" w:hAnchor="margin" w:y="1"/>
      <w:rPr>
        <w:rStyle w:val="PageNumber"/>
      </w:rPr>
    </w:pPr>
    <w:r w:rsidRPr="00E370B7">
      <w:rPr>
        <w:rStyle w:val="PageNumber"/>
      </w:rPr>
      <w:fldChar w:fldCharType="begin"/>
    </w:r>
    <w:r w:rsidRPr="00E370B7">
      <w:rPr>
        <w:rStyle w:val="PageNumber"/>
      </w:rPr>
      <w:instrText xml:space="preserve">PAGE  </w:instrText>
    </w:r>
    <w:r w:rsidRPr="00E370B7">
      <w:rPr>
        <w:rStyle w:val="PageNumber"/>
      </w:rPr>
      <w:fldChar w:fldCharType="separate"/>
    </w:r>
    <w:r w:rsidR="0082552C">
      <w:rPr>
        <w:rStyle w:val="PageNumber"/>
        <w:noProof/>
      </w:rPr>
      <w:t>2</w:t>
    </w:r>
    <w:r w:rsidRPr="00E370B7">
      <w:rPr>
        <w:rStyle w:val="PageNumber"/>
      </w:rPr>
      <w:fldChar w:fldCharType="end"/>
    </w:r>
  </w:p>
  <w:p w:rsidR="00093455" w:rsidRDefault="00093455" w:rsidP="00E370B7">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3409" w:rsidRDefault="00623409" w:rsidP="00A605CC">
      <w:pPr>
        <w:spacing w:before="0" w:after="0"/>
      </w:pPr>
      <w:r>
        <w:separator/>
      </w:r>
    </w:p>
  </w:footnote>
  <w:footnote w:type="continuationSeparator" w:id="0">
    <w:p w:rsidR="00623409" w:rsidRDefault="00623409" w:rsidP="00A605CC">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8EB" w:rsidRDefault="00E338EB">
    <w:pPr>
      <w:pStyle w:val="Header"/>
    </w:pPr>
    <w:r>
      <w:rPr>
        <w:noProof/>
        <w:lang w:val="en-US"/>
      </w:rPr>
      <w:drawing>
        <wp:anchor distT="0" distB="0" distL="114300" distR="114300" simplePos="0" relativeHeight="251658752" behindDoc="1" locked="0" layoutInCell="1" allowOverlap="1" wp14:anchorId="7E9E0920" wp14:editId="4FBA09B9">
          <wp:simplePos x="0" y="0"/>
          <wp:positionH relativeFrom="column">
            <wp:posOffset>-626546</wp:posOffset>
          </wp:positionH>
          <wp:positionV relativeFrom="paragraph">
            <wp:posOffset>-441960</wp:posOffset>
          </wp:positionV>
          <wp:extent cx="7543800" cy="10750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header-pg2-1.jpg"/>
                  <pic:cNvPicPr/>
                </pic:nvPicPr>
                <pic:blipFill>
                  <a:blip r:embed="rId1"/>
                  <a:stretch>
                    <a:fillRect/>
                  </a:stretch>
                </pic:blipFill>
                <pic:spPr>
                  <a:xfrm>
                    <a:off x="0" y="0"/>
                    <a:ext cx="7543800" cy="10750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7B03" w:rsidRDefault="00B77B03">
    <w:pPr>
      <w:pStyle w:val="Header"/>
    </w:pPr>
    <w:r w:rsidRPr="00B77B03">
      <w:rPr>
        <w:noProof/>
        <w:lang w:val="en-US"/>
      </w:rPr>
      <w:drawing>
        <wp:anchor distT="0" distB="0" distL="114300" distR="114300" simplePos="0" relativeHeight="251663872" behindDoc="0" locked="0" layoutInCell="1" allowOverlap="1" wp14:anchorId="438D72D3" wp14:editId="3EE6C3FA">
          <wp:simplePos x="0" y="0"/>
          <wp:positionH relativeFrom="column">
            <wp:posOffset>-405765</wp:posOffset>
          </wp:positionH>
          <wp:positionV relativeFrom="paragraph">
            <wp:posOffset>-227330</wp:posOffset>
          </wp:positionV>
          <wp:extent cx="2650490" cy="11239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BN_Logo_Horiz_White_RGB.png"/>
                  <pic:cNvPicPr/>
                </pic:nvPicPr>
                <pic:blipFill>
                  <a:blip r:embed="rId1"/>
                  <a:stretch>
                    <a:fillRect/>
                  </a:stretch>
                </pic:blipFill>
                <pic:spPr>
                  <a:xfrm>
                    <a:off x="0" y="0"/>
                    <a:ext cx="2650490" cy="1123950"/>
                  </a:xfrm>
                  <a:prstGeom prst="rect">
                    <a:avLst/>
                  </a:prstGeom>
                </pic:spPr>
              </pic:pic>
            </a:graphicData>
          </a:graphic>
          <wp14:sizeRelH relativeFrom="page">
            <wp14:pctWidth>0</wp14:pctWidth>
          </wp14:sizeRelH>
          <wp14:sizeRelV relativeFrom="page">
            <wp14:pctHeight>0</wp14:pctHeight>
          </wp14:sizeRelV>
        </wp:anchor>
      </w:drawing>
    </w:r>
    <w:r w:rsidRPr="00B77B03">
      <w:rPr>
        <w:noProof/>
        <w:lang w:val="en-US"/>
      </w:rPr>
      <mc:AlternateContent>
        <mc:Choice Requires="wps">
          <w:drawing>
            <wp:anchor distT="0" distB="0" distL="114300" distR="114300" simplePos="0" relativeHeight="251662848" behindDoc="0" locked="1" layoutInCell="1" allowOverlap="1" wp14:anchorId="2FB03447" wp14:editId="1C653C8B">
              <wp:simplePos x="0" y="0"/>
              <wp:positionH relativeFrom="column">
                <wp:posOffset>-466090</wp:posOffset>
              </wp:positionH>
              <wp:positionV relativeFrom="paragraph">
                <wp:posOffset>-246380</wp:posOffset>
              </wp:positionV>
              <wp:extent cx="1320800" cy="1328420"/>
              <wp:effectExtent l="0" t="0" r="0" b="5080"/>
              <wp:wrapThrough wrapText="bothSides">
                <wp:wrapPolygon edited="0">
                  <wp:start x="0" y="0"/>
                  <wp:lineTo x="0" y="21476"/>
                  <wp:lineTo x="21392" y="21476"/>
                  <wp:lineTo x="21392"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1320800" cy="1328420"/>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B03447" id="Rectangle 13" o:spid="_x0000_s1027" style="position:absolute;margin-left:-36.7pt;margin-top:-19.4pt;width:104pt;height:104.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" fillcolor="#0e0028" stroked="f">
              <v:textbox>
                <w:txbxContent>
                  <w:p w:rsidR="00B77B03" w:rsidRDefault="00B77B03" w:rsidP="00B77B03">
                    <w:pPr>
                      <w:jc w:val="center"/>
                    </w:pPr>
                  </w:p>
                </w:txbxContent>
              </v:textbox>
              <w10:wrap type="through"/>
              <w10:anchorlock/>
            </v:rect>
          </w:pict>
        </mc:Fallback>
      </mc:AlternateContent>
    </w:r>
    <w:r w:rsidRPr="00B77B03">
      <w:rPr>
        <w:noProof/>
        <w:lang w:val="en-US"/>
      </w:rPr>
      <mc:AlternateContent>
        <mc:Choice Requires="wps">
          <w:drawing>
            <wp:anchor distT="0" distB="0" distL="114300" distR="114300" simplePos="0" relativeHeight="251661824" behindDoc="0" locked="1" layoutInCell="1" allowOverlap="1" wp14:anchorId="01B7D180" wp14:editId="5C0101B1">
              <wp:simplePos x="0" y="0"/>
              <wp:positionH relativeFrom="column">
                <wp:posOffset>-375920</wp:posOffset>
              </wp:positionH>
              <wp:positionV relativeFrom="paragraph">
                <wp:posOffset>-196215</wp:posOffset>
              </wp:positionV>
              <wp:extent cx="7005320" cy="3190875"/>
              <wp:effectExtent l="25400" t="25400" r="43180" b="34925"/>
              <wp:wrapTight wrapText="bothSides">
                <wp:wrapPolygon edited="0">
                  <wp:start x="-78" y="-172"/>
                  <wp:lineTo x="-78" y="21750"/>
                  <wp:lineTo x="21694" y="21750"/>
                  <wp:lineTo x="21694" y="-172"/>
                  <wp:lineTo x="-78" y="-172"/>
                </wp:wrapPolygon>
              </wp:wrapTight>
              <wp:docPr id="11" name="Rectangle 11"/>
              <wp:cNvGraphicFramePr/>
              <a:graphic xmlns:a="http://schemas.openxmlformats.org/drawingml/2006/main">
                <a:graphicData uri="http://schemas.microsoft.com/office/word/2010/wordprocessingShape">
                  <wps:wsp>
                    <wps:cNvSpPr/>
                    <wps:spPr>
                      <a:xfrm>
                        <a:off x="0" y="0"/>
                        <a:ext cx="7005320" cy="3190875"/>
                      </a:xfrm>
                      <a:prstGeom prst="rect">
                        <a:avLst/>
                      </a:prstGeom>
                      <a:noFill/>
                      <a:ln w="57150" cmpd="sng">
                        <a:solidFill>
                          <a:srgbClr val="9B9791"/>
                        </a:solidFill>
                        <a:miter lim="800000"/>
                      </a:ln>
                      <a:effectLst/>
                    </wps:spPr>
                    <wps:style>
                      <a:lnRef idx="1">
                        <a:schemeClr val="accent1"/>
                      </a:lnRef>
                      <a:fillRef idx="3">
                        <a:schemeClr val="accent1"/>
                      </a:fillRef>
                      <a:effectRef idx="2">
                        <a:schemeClr val="accent1"/>
                      </a:effectRef>
                      <a:fontRef idx="minor">
                        <a:schemeClr val="lt1"/>
                      </a:fontRef>
                    </wps:style>
                    <wps:txbx>
                      <w:txbxContent>
                        <w:p w:rsidR="00B77B03" w:rsidRDefault="00B77B03" w:rsidP="00B77B0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B7D180" id="Rectangle 11" o:spid="_x0000_s1028" style="position:absolute;margin-left:-29.6pt;margin-top:-15.45pt;width:551.6pt;height:251.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" filled="f" strokecolor="#9b9791" strokeweight="4.5pt">
              <v:textbox>
                <w:txbxContent>
                  <w:p w:rsidR="00B77B03" w:rsidRDefault="00B77B03" w:rsidP="00B77B03">
                    <w:pPr>
                      <w:jc w:val="center"/>
                    </w:pPr>
                    <w:r>
                      <w:t xml:space="preserve">   </w:t>
                    </w:r>
                  </w:p>
                </w:txbxContent>
              </v:textbox>
              <w10:wrap type="tight"/>
              <w10:anchorlock/>
            </v:rect>
          </w:pict>
        </mc:Fallback>
      </mc:AlternateContent>
    </w:r>
    <w:r w:rsidRPr="00B77B03">
      <w:rPr>
        <w:noProof/>
        <w:lang w:val="en-US"/>
      </w:rPr>
      <mc:AlternateContent>
        <mc:Choice Requires="wps">
          <w:drawing>
            <wp:anchor distT="0" distB="0" distL="114300" distR="114300" simplePos="0" relativeHeight="251660800" behindDoc="0" locked="1" layoutInCell="1" allowOverlap="1" wp14:anchorId="7AA9604A" wp14:editId="4DB58F07">
              <wp:simplePos x="0" y="0"/>
              <wp:positionH relativeFrom="column">
                <wp:posOffset>-643890</wp:posOffset>
              </wp:positionH>
              <wp:positionV relativeFrom="paragraph">
                <wp:posOffset>-462915</wp:posOffset>
              </wp:positionV>
              <wp:extent cx="7606665" cy="3725545"/>
              <wp:effectExtent l="0" t="0" r="635" b="0"/>
              <wp:wrapThrough wrapText="bothSides">
                <wp:wrapPolygon edited="0">
                  <wp:start x="0" y="0"/>
                  <wp:lineTo x="0" y="21501"/>
                  <wp:lineTo x="21566" y="21501"/>
                  <wp:lineTo x="21566"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7606665" cy="3725545"/>
                      </a:xfrm>
                      <a:prstGeom prst="rect">
                        <a:avLst/>
                      </a:prstGeom>
                      <a:solidFill>
                        <a:srgbClr val="0E0028"/>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915021" id="Rectangle 10" o:spid="_x0000_s1026" style="position:absolute;margin-left:-50.7pt;margin-top:-36.45pt;width:598.95pt;height:293.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" fillcolor="#0e0028" stroked="f">
              <w10:wrap type="through"/>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1D419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37E16CA6"/>
    <w:multiLevelType w:val="multilevel"/>
    <w:tmpl w:val="13A2B298"/>
    <w:lvl w:ilvl="0">
      <w:start w:val="1"/>
      <w:numFmt w:val="decimal"/>
      <w:lvlText w:val="%1"/>
      <w:lvlJc w:val="left"/>
      <w:pPr>
        <w:tabs>
          <w:tab w:val="num" w:pos="567"/>
        </w:tabs>
        <w:ind w:left="567" w:hanging="567"/>
      </w:pPr>
      <w:rPr>
        <w:rFonts w:ascii="Lato Bold" w:hAnsi="Lato Bold" w:hint="default"/>
        <w:color w:val="FA5900"/>
      </w:rPr>
    </w:lvl>
    <w:lvl w:ilvl="1">
      <w:start w:val="1"/>
      <w:numFmt w:val="decimal"/>
      <w:lvlText w:val="%1.%2"/>
      <w:lvlJc w:val="left"/>
      <w:pPr>
        <w:tabs>
          <w:tab w:val="num" w:pos="567"/>
        </w:tabs>
        <w:ind w:left="567" w:hanging="567"/>
      </w:pPr>
      <w:rPr>
        <w:rFonts w:hint="default"/>
        <w:color w:val="FA5900"/>
      </w:rPr>
    </w:lvl>
    <w:lvl w:ilvl="2">
      <w:start w:val="1"/>
      <w:numFmt w:val="decimal"/>
      <w:lvlText w:val="%1.%2.%3"/>
      <w:lvlJc w:val="left"/>
      <w:pPr>
        <w:tabs>
          <w:tab w:val="num" w:pos="567"/>
        </w:tabs>
        <w:ind w:left="567" w:hanging="567"/>
      </w:pPr>
      <w:rPr>
        <w:rFonts w:hint="default"/>
        <w:color w:val="FA5900"/>
      </w:rPr>
    </w:lvl>
    <w:lvl w:ilvl="3">
      <w:start w:val="1"/>
      <w:numFmt w:val="decimal"/>
      <w:lvlText w:val="%1.%2.%3.%4"/>
      <w:lvlJc w:val="left"/>
      <w:pPr>
        <w:tabs>
          <w:tab w:val="num" w:pos="567"/>
        </w:tabs>
        <w:ind w:left="567" w:hanging="567"/>
      </w:pPr>
      <w:rPr>
        <w:rFonts w:hint="default"/>
        <w:color w:val="FA590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4CF"/>
    <w:rsid w:val="0001496C"/>
    <w:rsid w:val="00093455"/>
    <w:rsid w:val="000B240D"/>
    <w:rsid w:val="000C73BD"/>
    <w:rsid w:val="00137B26"/>
    <w:rsid w:val="00151142"/>
    <w:rsid w:val="00162D39"/>
    <w:rsid w:val="001F24CF"/>
    <w:rsid w:val="00267675"/>
    <w:rsid w:val="003364F4"/>
    <w:rsid w:val="00342A1A"/>
    <w:rsid w:val="003448CB"/>
    <w:rsid w:val="00463C57"/>
    <w:rsid w:val="00472995"/>
    <w:rsid w:val="004968A6"/>
    <w:rsid w:val="004A0F6D"/>
    <w:rsid w:val="004C071C"/>
    <w:rsid w:val="004C0A50"/>
    <w:rsid w:val="004D4923"/>
    <w:rsid w:val="00536E96"/>
    <w:rsid w:val="00545B3E"/>
    <w:rsid w:val="00554BCB"/>
    <w:rsid w:val="00591A7E"/>
    <w:rsid w:val="006102B1"/>
    <w:rsid w:val="00623409"/>
    <w:rsid w:val="007E6894"/>
    <w:rsid w:val="0082552C"/>
    <w:rsid w:val="00843CFA"/>
    <w:rsid w:val="00844422"/>
    <w:rsid w:val="00894044"/>
    <w:rsid w:val="008C1398"/>
    <w:rsid w:val="00914CA8"/>
    <w:rsid w:val="0092046C"/>
    <w:rsid w:val="00982818"/>
    <w:rsid w:val="009B6EE4"/>
    <w:rsid w:val="009E4D5D"/>
    <w:rsid w:val="00A605CC"/>
    <w:rsid w:val="00AE4AFF"/>
    <w:rsid w:val="00B03E86"/>
    <w:rsid w:val="00B748AC"/>
    <w:rsid w:val="00B77B03"/>
    <w:rsid w:val="00BD3A9A"/>
    <w:rsid w:val="00BE06ED"/>
    <w:rsid w:val="00BF4261"/>
    <w:rsid w:val="00C12B98"/>
    <w:rsid w:val="00C21B5B"/>
    <w:rsid w:val="00C72478"/>
    <w:rsid w:val="00D13814"/>
    <w:rsid w:val="00D21ED3"/>
    <w:rsid w:val="00D945A0"/>
    <w:rsid w:val="00E3038C"/>
    <w:rsid w:val="00E338EB"/>
    <w:rsid w:val="00E37090"/>
    <w:rsid w:val="00E370B7"/>
    <w:rsid w:val="00E562E1"/>
    <w:rsid w:val="00F06E51"/>
    <w:rsid w:val="00FB47E6"/>
    <w:rsid w:val="00FE7723"/>
    <w:rsid w:val="00FF2B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875BFB3A-B010-47CE-AB25-A5547DED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1A7E"/>
    <w:pPr>
      <w:spacing w:before="120" w:after="120"/>
    </w:pPr>
    <w:rPr>
      <w:rFonts w:ascii="Verdana" w:hAnsi="Verdana"/>
      <w:color w:val="0E0028"/>
      <w:sz w:val="17"/>
      <w:szCs w:val="17"/>
    </w:rPr>
  </w:style>
  <w:style w:type="paragraph" w:styleId="Heading1">
    <w:name w:val="heading 1"/>
    <w:basedOn w:val="Normal"/>
    <w:next w:val="Normal"/>
    <w:link w:val="Heading1Char"/>
    <w:uiPriority w:val="9"/>
    <w:qFormat/>
    <w:rsid w:val="00093455"/>
    <w:pPr>
      <w:keepNext/>
      <w:keepLines/>
      <w:spacing w:before="200" w:after="100" w:line="360" w:lineRule="auto"/>
      <w:outlineLvl w:val="0"/>
    </w:pPr>
    <w:rPr>
      <w:rFonts w:eastAsiaTheme="majorEastAsia" w:cstheme="majorBidi"/>
      <w:bCs/>
      <w:sz w:val="50"/>
      <w:szCs w:val="32"/>
    </w:rPr>
  </w:style>
  <w:style w:type="paragraph" w:styleId="Heading2">
    <w:name w:val="heading 2"/>
    <w:basedOn w:val="Normal"/>
    <w:next w:val="Normal"/>
    <w:link w:val="Heading2Char"/>
    <w:uiPriority w:val="9"/>
    <w:unhideWhenUsed/>
    <w:qFormat/>
    <w:rsid w:val="00982818"/>
    <w:pPr>
      <w:keepNext/>
      <w:keepLines/>
      <w:spacing w:before="140" w:after="200"/>
      <w:outlineLvl w:val="1"/>
    </w:pPr>
    <w:rPr>
      <w:rFonts w:eastAsiaTheme="majorEastAsia" w:cstheme="majorBidi"/>
      <w:b/>
      <w:bCs/>
      <w:color w:val="29D9B4"/>
      <w:sz w:val="30"/>
      <w:szCs w:val="26"/>
    </w:rPr>
  </w:style>
  <w:style w:type="paragraph" w:styleId="Heading3">
    <w:name w:val="heading 3"/>
    <w:basedOn w:val="Normal"/>
    <w:next w:val="Normal"/>
    <w:link w:val="Heading3Char"/>
    <w:uiPriority w:val="9"/>
    <w:unhideWhenUsed/>
    <w:qFormat/>
    <w:rsid w:val="00591A7E"/>
    <w:pPr>
      <w:keepNext/>
      <w:keepLines/>
      <w:spacing w:before="200" w:after="200"/>
      <w:outlineLvl w:val="2"/>
    </w:pPr>
    <w:rPr>
      <w:rFonts w:eastAsiaTheme="majorEastAsia" w:cstheme="majorBidi"/>
      <w:b/>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3455"/>
    <w:rPr>
      <w:rFonts w:ascii="Verdana" w:eastAsiaTheme="majorEastAsia" w:hAnsi="Verdana" w:cstheme="majorBidi"/>
      <w:bCs/>
      <w:color w:val="0E0028"/>
      <w:sz w:val="50"/>
      <w:szCs w:val="32"/>
    </w:rPr>
  </w:style>
  <w:style w:type="paragraph" w:styleId="Header">
    <w:name w:val="header"/>
    <w:basedOn w:val="Normal"/>
    <w:link w:val="HeaderChar"/>
    <w:uiPriority w:val="99"/>
    <w:unhideWhenUsed/>
    <w:rsid w:val="00A605CC"/>
    <w:pPr>
      <w:tabs>
        <w:tab w:val="center" w:pos="4320"/>
        <w:tab w:val="right" w:pos="8640"/>
      </w:tabs>
      <w:spacing w:before="0" w:after="0"/>
    </w:pPr>
  </w:style>
  <w:style w:type="character" w:customStyle="1" w:styleId="HeaderChar">
    <w:name w:val="Header Char"/>
    <w:basedOn w:val="DefaultParagraphFont"/>
    <w:link w:val="Header"/>
    <w:uiPriority w:val="99"/>
    <w:rsid w:val="00A605CC"/>
    <w:rPr>
      <w:rFonts w:ascii="Open Sans Regular" w:hAnsi="Open Sans Regular"/>
      <w:sz w:val="18"/>
    </w:rPr>
  </w:style>
  <w:style w:type="paragraph" w:styleId="Footer">
    <w:name w:val="footer"/>
    <w:basedOn w:val="Normal"/>
    <w:link w:val="FooterChar"/>
    <w:uiPriority w:val="99"/>
    <w:unhideWhenUsed/>
    <w:rsid w:val="00A605CC"/>
    <w:pPr>
      <w:tabs>
        <w:tab w:val="center" w:pos="4320"/>
        <w:tab w:val="right" w:pos="8640"/>
      </w:tabs>
      <w:spacing w:before="0" w:after="0"/>
    </w:pPr>
  </w:style>
  <w:style w:type="character" w:customStyle="1" w:styleId="FooterChar">
    <w:name w:val="Footer Char"/>
    <w:basedOn w:val="DefaultParagraphFont"/>
    <w:link w:val="Footer"/>
    <w:uiPriority w:val="99"/>
    <w:rsid w:val="00A605CC"/>
    <w:rPr>
      <w:rFonts w:ascii="Open Sans Regular" w:hAnsi="Open Sans Regular"/>
      <w:sz w:val="18"/>
    </w:rPr>
  </w:style>
  <w:style w:type="paragraph" w:customStyle="1" w:styleId="BasicParagraph">
    <w:name w:val="[Basic Paragraph]"/>
    <w:basedOn w:val="Normal"/>
    <w:uiPriority w:val="99"/>
    <w:rsid w:val="00A605CC"/>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US"/>
    </w:rPr>
  </w:style>
  <w:style w:type="paragraph" w:styleId="BalloonText">
    <w:name w:val="Balloon Text"/>
    <w:basedOn w:val="Normal"/>
    <w:link w:val="BalloonTextChar"/>
    <w:uiPriority w:val="99"/>
    <w:semiHidden/>
    <w:unhideWhenUsed/>
    <w:rsid w:val="00A605CC"/>
    <w:pPr>
      <w:spacing w:before="0" w:after="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A605CC"/>
    <w:rPr>
      <w:rFonts w:ascii="Lucida Grande" w:hAnsi="Lucida Grande" w:cs="Lucida Grande"/>
      <w:sz w:val="18"/>
      <w:szCs w:val="18"/>
    </w:rPr>
  </w:style>
  <w:style w:type="character" w:styleId="Hyperlink">
    <w:name w:val="Hyperlink"/>
    <w:basedOn w:val="DefaultParagraphFont"/>
    <w:uiPriority w:val="99"/>
    <w:unhideWhenUsed/>
    <w:rsid w:val="00A605CC"/>
    <w:rPr>
      <w:color w:val="2CA692" w:themeColor="hyperlink"/>
      <w:u w:val="single"/>
    </w:rPr>
  </w:style>
  <w:style w:type="character" w:customStyle="1" w:styleId="Heading2Char">
    <w:name w:val="Heading 2 Char"/>
    <w:basedOn w:val="DefaultParagraphFont"/>
    <w:link w:val="Heading2"/>
    <w:uiPriority w:val="9"/>
    <w:rsid w:val="00982818"/>
    <w:rPr>
      <w:rFonts w:ascii="Verdana" w:eastAsiaTheme="majorEastAsia" w:hAnsi="Verdana" w:cstheme="majorBidi"/>
      <w:b/>
      <w:bCs/>
      <w:color w:val="29D9B4"/>
      <w:sz w:val="30"/>
      <w:szCs w:val="26"/>
    </w:rPr>
  </w:style>
  <w:style w:type="character" w:customStyle="1" w:styleId="Heading3Char">
    <w:name w:val="Heading 3 Char"/>
    <w:basedOn w:val="DefaultParagraphFont"/>
    <w:link w:val="Heading3"/>
    <w:uiPriority w:val="9"/>
    <w:rsid w:val="00591A7E"/>
    <w:rPr>
      <w:rFonts w:ascii="Verdana" w:eastAsiaTheme="majorEastAsia" w:hAnsi="Verdana" w:cstheme="majorBidi"/>
      <w:b/>
      <w:caps/>
      <w:color w:val="0E0028"/>
      <w:sz w:val="20"/>
      <w:szCs w:val="17"/>
    </w:rPr>
  </w:style>
  <w:style w:type="paragraph" w:styleId="Quote">
    <w:name w:val="Quote"/>
    <w:basedOn w:val="Normal"/>
    <w:next w:val="Normal"/>
    <w:link w:val="QuoteChar"/>
    <w:uiPriority w:val="29"/>
    <w:qFormat/>
    <w:rsid w:val="00093455"/>
    <w:pPr>
      <w:ind w:left="567"/>
    </w:pPr>
    <w:rPr>
      <w:iCs/>
      <w:sz w:val="24"/>
    </w:rPr>
  </w:style>
  <w:style w:type="character" w:customStyle="1" w:styleId="QuoteChar">
    <w:name w:val="Quote Char"/>
    <w:basedOn w:val="DefaultParagraphFont"/>
    <w:link w:val="Quote"/>
    <w:uiPriority w:val="29"/>
    <w:rsid w:val="00093455"/>
    <w:rPr>
      <w:rFonts w:ascii="Verdana" w:hAnsi="Verdana"/>
      <w:iCs/>
      <w:color w:val="0E0028"/>
      <w:szCs w:val="17"/>
    </w:rPr>
  </w:style>
  <w:style w:type="character" w:customStyle="1" w:styleId="UnresolvedMention1">
    <w:name w:val="Unresolved Mention1"/>
    <w:basedOn w:val="DefaultParagraphFont"/>
    <w:uiPriority w:val="99"/>
    <w:semiHidden/>
    <w:unhideWhenUsed/>
    <w:rsid w:val="0092046C"/>
    <w:rPr>
      <w:color w:val="605E5C"/>
      <w:shd w:val="clear" w:color="auto" w:fill="E1DFDD"/>
    </w:rPr>
  </w:style>
  <w:style w:type="table" w:styleId="TableGrid">
    <w:name w:val="Table Grid"/>
    <w:basedOn w:val="TableNormal"/>
    <w:uiPriority w:val="59"/>
    <w:rsid w:val="00E303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BN-Table">
    <w:name w:val="CBN-Table"/>
    <w:basedOn w:val="TableNormal"/>
    <w:uiPriority w:val="99"/>
    <w:rsid w:val="00BE06ED"/>
    <w:rPr>
      <w:rFonts w:ascii="Verdana" w:hAnsi="Verdana"/>
      <w:sz w:val="17"/>
    </w:rPr>
    <w:tblPr/>
  </w:style>
  <w:style w:type="table" w:customStyle="1" w:styleId="CBN-Table2">
    <w:name w:val="CBN-Table2"/>
    <w:basedOn w:val="TableNormal"/>
    <w:uiPriority w:val="99"/>
    <w:rsid w:val="003448CB"/>
    <w:tblPr/>
  </w:style>
  <w:style w:type="table" w:customStyle="1" w:styleId="PlainTable31">
    <w:name w:val="Plain Table 31"/>
    <w:basedOn w:val="TableNormal"/>
    <w:uiPriority w:val="99"/>
    <w:rsid w:val="003448CB"/>
    <w:tblPr>
      <w:tblStyleRowBandSize w:val="1"/>
      <w:tblStyleColBandSize w:val="1"/>
    </w:tblPr>
    <w:tblStylePr w:type="firstRow">
      <w:rPr>
        <w:b/>
        <w:bCs/>
        <w:caps/>
      </w:rPr>
      <w:tblPr/>
      <w:tcPr>
        <w:tcBorders>
          <w:bottom w:val="single" w:sz="4" w:space="0" w:color="8840D8"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840D8" w:themeColor="text1" w:themeTint="80"/>
        </w:tcBorders>
      </w:tcPr>
    </w:tblStylePr>
    <w:tblStylePr w:type="lastCol">
      <w:rPr>
        <w:b/>
        <w:bCs/>
        <w:caps/>
      </w:rPr>
      <w:tblPr/>
      <w:tcPr>
        <w:tcBorders>
          <w:left w:val="nil"/>
        </w:tcBorders>
      </w:tcPr>
    </w:tblStylePr>
    <w:tblStylePr w:type="band1Vert">
      <w:tblPr/>
      <w:tcPr>
        <w:shd w:val="clear" w:color="auto" w:fill="E3DFD8" w:themeFill="background1" w:themeFillShade="F2"/>
      </w:tcPr>
    </w:tblStylePr>
    <w:tblStylePr w:type="band1Horz">
      <w:tblPr/>
      <w:tcPr>
        <w:shd w:val="clear" w:color="auto" w:fill="E3DFD8"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GridTable1Light-Accent41">
    <w:name w:val="Grid Table 1 Light - Accent 41"/>
    <w:basedOn w:val="TableNormal"/>
    <w:uiPriority w:val="46"/>
    <w:rsid w:val="003448CB"/>
    <w:tblPr>
      <w:tblStyleRowBandSize w:val="1"/>
      <w:tblStyleColBandSize w:val="1"/>
      <w:tblBorders>
        <w:top w:val="single" w:sz="4" w:space="0" w:color="E2E0DE" w:themeColor="accent4" w:themeTint="66"/>
        <w:left w:val="single" w:sz="4" w:space="0" w:color="E2E0DE" w:themeColor="accent4" w:themeTint="66"/>
        <w:bottom w:val="single" w:sz="4" w:space="0" w:color="E2E0DE" w:themeColor="accent4" w:themeTint="66"/>
        <w:right w:val="single" w:sz="4" w:space="0" w:color="E2E0DE" w:themeColor="accent4" w:themeTint="66"/>
        <w:insideH w:val="single" w:sz="4" w:space="0" w:color="E2E0DE" w:themeColor="accent4" w:themeTint="66"/>
        <w:insideV w:val="single" w:sz="4" w:space="0" w:color="E2E0DE" w:themeColor="accent4" w:themeTint="66"/>
      </w:tblBorders>
    </w:tblPr>
    <w:tblStylePr w:type="firstRow">
      <w:rPr>
        <w:b/>
        <w:bCs/>
      </w:rPr>
      <w:tblPr/>
      <w:tcPr>
        <w:tcBorders>
          <w:bottom w:val="single" w:sz="12" w:space="0" w:color="D4D0CD" w:themeColor="accent4" w:themeTint="99"/>
        </w:tcBorders>
      </w:tcPr>
    </w:tblStylePr>
    <w:tblStylePr w:type="lastRow">
      <w:rPr>
        <w:b/>
        <w:bCs/>
      </w:rPr>
      <w:tblPr/>
      <w:tcPr>
        <w:tcBorders>
          <w:top w:val="double" w:sz="2" w:space="0" w:color="D4D0CD" w:themeColor="accent4" w:themeTint="99"/>
        </w:tcBorders>
      </w:tcPr>
    </w:tblStylePr>
    <w:tblStylePr w:type="firstCol">
      <w:rPr>
        <w:b/>
        <w:bCs/>
      </w:rPr>
    </w:tblStylePr>
    <w:tblStylePr w:type="lastCol">
      <w:rPr>
        <w:b/>
        <w:bCs/>
      </w:rPr>
    </w:tblStylePr>
  </w:style>
  <w:style w:type="table" w:customStyle="1" w:styleId="CBN-Table3">
    <w:name w:val="CBN-Table3"/>
    <w:basedOn w:val="TableNormal"/>
    <w:uiPriority w:val="99"/>
    <w:rsid w:val="003448CB"/>
    <w:tblPr/>
  </w:style>
  <w:style w:type="character" w:styleId="PageNumber">
    <w:name w:val="page number"/>
    <w:basedOn w:val="DefaultParagraphFont"/>
    <w:uiPriority w:val="99"/>
    <w:semiHidden/>
    <w:unhideWhenUsed/>
    <w:rsid w:val="00E370B7"/>
  </w:style>
  <w:style w:type="paragraph" w:styleId="TOC2">
    <w:name w:val="toc 2"/>
    <w:basedOn w:val="Heading3"/>
    <w:next w:val="Normal"/>
    <w:autoRedefine/>
    <w:uiPriority w:val="39"/>
    <w:unhideWhenUsed/>
    <w:rsid w:val="00FF2BD2"/>
    <w:pPr>
      <w:tabs>
        <w:tab w:val="left" w:leader="underscore" w:pos="5670"/>
      </w:tabs>
      <w:ind w:left="170"/>
    </w:pPr>
    <w:rPr>
      <w:b w:val="0"/>
      <w:caps w:val="0"/>
      <w:sz w:val="22"/>
    </w:rPr>
  </w:style>
  <w:style w:type="paragraph" w:styleId="TOC1">
    <w:name w:val="toc 1"/>
    <w:aliases w:val="CBN Contents"/>
    <w:basedOn w:val="Heading3"/>
    <w:next w:val="Normal"/>
    <w:autoRedefine/>
    <w:uiPriority w:val="39"/>
    <w:unhideWhenUsed/>
    <w:rsid w:val="00151142"/>
    <w:pPr>
      <w:tabs>
        <w:tab w:val="left" w:leader="underscore" w:pos="5670"/>
        <w:tab w:val="left" w:pos="7938"/>
      </w:tabs>
      <w:spacing w:after="100"/>
    </w:pPr>
    <w:rPr>
      <w:caps w:val="0"/>
      <w:sz w:val="22"/>
    </w:rPr>
  </w:style>
  <w:style w:type="paragraph" w:styleId="TOC3">
    <w:name w:val="toc 3"/>
    <w:basedOn w:val="Normal"/>
    <w:next w:val="Normal"/>
    <w:autoRedefine/>
    <w:uiPriority w:val="39"/>
    <w:unhideWhenUsed/>
    <w:rsid w:val="00151142"/>
    <w:pPr>
      <w:tabs>
        <w:tab w:val="left" w:leader="underscore" w:pos="5670"/>
      </w:tabs>
      <w:ind w:left="170"/>
    </w:pPr>
  </w:style>
  <w:style w:type="paragraph" w:styleId="TOC4">
    <w:name w:val="toc 4"/>
    <w:basedOn w:val="Normal"/>
    <w:next w:val="Normal"/>
    <w:autoRedefine/>
    <w:uiPriority w:val="39"/>
    <w:unhideWhenUsed/>
    <w:rsid w:val="00E370B7"/>
    <w:pPr>
      <w:ind w:left="510"/>
    </w:pPr>
  </w:style>
  <w:style w:type="paragraph" w:styleId="TOC5">
    <w:name w:val="toc 5"/>
    <w:basedOn w:val="Normal"/>
    <w:next w:val="Normal"/>
    <w:autoRedefine/>
    <w:uiPriority w:val="39"/>
    <w:unhideWhenUsed/>
    <w:rsid w:val="00E370B7"/>
    <w:pPr>
      <w:ind w:left="680"/>
    </w:pPr>
  </w:style>
  <w:style w:type="paragraph" w:styleId="TOC6">
    <w:name w:val="toc 6"/>
    <w:basedOn w:val="Normal"/>
    <w:next w:val="Normal"/>
    <w:autoRedefine/>
    <w:uiPriority w:val="39"/>
    <w:unhideWhenUsed/>
    <w:rsid w:val="00E370B7"/>
    <w:pPr>
      <w:ind w:left="850"/>
    </w:pPr>
  </w:style>
  <w:style w:type="paragraph" w:styleId="TOC7">
    <w:name w:val="toc 7"/>
    <w:basedOn w:val="Normal"/>
    <w:next w:val="Normal"/>
    <w:autoRedefine/>
    <w:uiPriority w:val="39"/>
    <w:unhideWhenUsed/>
    <w:rsid w:val="00E370B7"/>
    <w:pPr>
      <w:ind w:left="1020"/>
    </w:pPr>
  </w:style>
  <w:style w:type="paragraph" w:styleId="TOC8">
    <w:name w:val="toc 8"/>
    <w:basedOn w:val="Normal"/>
    <w:next w:val="Normal"/>
    <w:autoRedefine/>
    <w:uiPriority w:val="39"/>
    <w:unhideWhenUsed/>
    <w:rsid w:val="00E370B7"/>
    <w:pPr>
      <w:ind w:left="1190"/>
    </w:pPr>
  </w:style>
  <w:style w:type="paragraph" w:styleId="TOC9">
    <w:name w:val="toc 9"/>
    <w:basedOn w:val="Normal"/>
    <w:next w:val="Normal"/>
    <w:autoRedefine/>
    <w:uiPriority w:val="39"/>
    <w:unhideWhenUsed/>
    <w:rsid w:val="00E370B7"/>
    <w:pPr>
      <w:ind w:left="1360"/>
    </w:pPr>
  </w:style>
  <w:style w:type="paragraph" w:styleId="NoSpacing">
    <w:name w:val="No Spacing"/>
    <w:uiPriority w:val="1"/>
    <w:qFormat/>
    <w:rsid w:val="00C21B5B"/>
    <w:rPr>
      <w:rFonts w:ascii="Verdana" w:hAnsi="Verdana"/>
      <w:color w:val="0E0028"/>
      <w:sz w:val="17"/>
      <w:szCs w:val="17"/>
    </w:rPr>
  </w:style>
  <w:style w:type="paragraph" w:customStyle="1" w:styleId="Pa3">
    <w:name w:val="Pa3"/>
    <w:basedOn w:val="Normal"/>
    <w:next w:val="Normal"/>
    <w:uiPriority w:val="99"/>
    <w:rsid w:val="006102B1"/>
    <w:pPr>
      <w:autoSpaceDE w:val="0"/>
      <w:autoSpaceDN w:val="0"/>
      <w:adjustRightInd w:val="0"/>
      <w:spacing w:before="0" w:after="0" w:line="201" w:lineRule="atLeast"/>
    </w:pPr>
    <w:rPr>
      <w:rFonts w:ascii="Roboto" w:eastAsiaTheme="minorHAnsi" w:hAnsi="Roboto"/>
      <w:color w:val="auto"/>
      <w:sz w:val="24"/>
      <w:szCs w:val="24"/>
    </w:rPr>
  </w:style>
  <w:style w:type="character" w:styleId="UnresolvedMention">
    <w:name w:val="Unresolved Mention"/>
    <w:basedOn w:val="DefaultParagraphFont"/>
    <w:uiPriority w:val="99"/>
    <w:semiHidden/>
    <w:unhideWhenUsed/>
    <w:rsid w:val="006102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aims@hollardinsurance.com.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underwriting@hollardinsurance.com.au" TargetMode="External"/><Relationship Id="rId17" Type="http://schemas.openxmlformats.org/officeDocument/2006/relationships/hyperlink" Target="www.steadfast.com.au/news/compliance" TargetMode="External"/><Relationship Id="rId2" Type="http://schemas.openxmlformats.org/officeDocument/2006/relationships/customXml" Target="../customXml/item2.xml"/><Relationship Id="rId16" Type="http://schemas.openxmlformats.org/officeDocument/2006/relationships/hyperlink" Target="mailto:catherine@steadfast.com.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nnect@hollardinsurance.com.au" TargetMode="External"/><Relationship Id="rId5" Type="http://schemas.openxmlformats.org/officeDocument/2006/relationships/numbering" Target="numbering.xml"/><Relationship Id="rId15" Type="http://schemas.openxmlformats.org/officeDocument/2006/relationships/hyperlink" Target="https://broker.steadfast.com.au/au/broker-resources/tools/calculators/sum-insured"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hollardinsurance.com.a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hlia.coulon\Documents\Custom%20Office%20Templates\CBN%20-%20Word%20Document%20Template.dotx" TargetMode="External"/></Relationships>
</file>

<file path=word/theme/theme1.xml><?xml version="1.0" encoding="utf-8"?>
<a:theme xmlns:a="http://schemas.openxmlformats.org/drawingml/2006/main" name="Office Theme">
  <a:themeElements>
    <a:clrScheme name="CBN">
      <a:dk1>
        <a:srgbClr val="1A092D"/>
      </a:dk1>
      <a:lt1>
        <a:srgbClr val="EDEBE6"/>
      </a:lt1>
      <a:dk2>
        <a:srgbClr val="1A092D"/>
      </a:dk2>
      <a:lt2>
        <a:srgbClr val="EDEBE6"/>
      </a:lt2>
      <a:accent1>
        <a:srgbClr val="6ED8C6"/>
      </a:accent1>
      <a:accent2>
        <a:srgbClr val="A171E1"/>
      </a:accent2>
      <a:accent3>
        <a:srgbClr val="FA5B60"/>
      </a:accent3>
      <a:accent4>
        <a:srgbClr val="B8B2AD"/>
      </a:accent4>
      <a:accent5>
        <a:srgbClr val="FEED44"/>
      </a:accent5>
      <a:accent6>
        <a:srgbClr val="2CA692"/>
      </a:accent6>
      <a:hlink>
        <a:srgbClr val="2CA692"/>
      </a:hlink>
      <a:folHlink>
        <a:srgbClr val="2CA692"/>
      </a:folHlink>
    </a:clrScheme>
    <a:fontScheme name="CBN-Theme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26857C1DEF5542B91771C56B6A7BA8" ma:contentTypeVersion="1" ma:contentTypeDescription="Create a new document." ma:contentTypeScope="" ma:versionID="0bede81618c4f239a4df81d2477324cc">
  <xsd:schema xmlns:xsd="http://www.w3.org/2001/XMLSchema" xmlns:xs="http://www.w3.org/2001/XMLSchema" xmlns:p="http://schemas.microsoft.com/office/2006/metadata/properties" xmlns:ns2="01593d1c-687b-476e-a38b-1ed6d14292e5" targetNamespace="http://schemas.microsoft.com/office/2006/metadata/properties" ma:root="true" ma:fieldsID="1079b9feb8ea6991992c1bec41133ac9" ns2:_="">
    <xsd:import namespace="01593d1c-687b-476e-a38b-1ed6d14292e5"/>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93d1c-687b-476e-a38b-1ed6d14292e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0590B-43F5-41EF-8154-504951271BC8}">
  <ds:schemaRefs>
    <ds:schemaRef ds:uri="http://schemas.microsoft.com/sharepoint/v3/contenttype/forms"/>
  </ds:schemaRefs>
</ds:datastoreItem>
</file>

<file path=customXml/itemProps2.xml><?xml version="1.0" encoding="utf-8"?>
<ds:datastoreItem xmlns:ds="http://schemas.openxmlformats.org/officeDocument/2006/customXml" ds:itemID="{11F675A9-29D2-41FA-9E3C-CD9E9D5040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93d1c-687b-476e-a38b-1ed6d14292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E95717-5157-4009-BEC7-9F6C9E17A31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2F81E3A-30AC-499C-9191-741BE1A22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CBN - Word Document Template</Template>
  <TotalTime>101</TotalTime>
  <Pages>2</Pages>
  <Words>676</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Tahlia Coulon</dc:creator>
  <cp:keywords/>
  <dc:description/>
  <cp:lastModifiedBy>Tahlia Coulon</cp:lastModifiedBy>
  <cp:revision>3</cp:revision>
  <cp:lastPrinted>2020-01-30T21:56:00Z</cp:lastPrinted>
  <dcterms:created xsi:type="dcterms:W3CDTF">2020-01-28T22:59:00Z</dcterms:created>
  <dcterms:modified xsi:type="dcterms:W3CDTF">2020-02-02T21:46:00Z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0x010100B126857C1DEF5542B91771C56B6A7BA8</vt:lpwstr>
  </property>
</Properties>
</file>