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2980C" w14:textId="0024688D" w:rsidR="00591A7E" w:rsidRPr="00591A7E" w:rsidRDefault="000550AF" w:rsidP="00324913">
      <w:pPr>
        <w:pStyle w:val="Heading2"/>
        <w:spacing w:before="0" w:after="0"/>
        <w:rPr>
          <w:lang w:val="en-US"/>
        </w:rPr>
      </w:pPr>
      <w:bookmarkStart w:id="0" w:name="_Toc11429372"/>
      <w:r>
        <w:rPr>
          <w:lang w:val="en-US"/>
        </w:rPr>
        <w:t>Introduction</w:t>
      </w:r>
      <w:bookmarkEnd w:id="0"/>
    </w:p>
    <w:p w14:paraId="57092762" w14:textId="7644B968" w:rsidR="007615D8" w:rsidRDefault="007615D8" w:rsidP="00B81E4B">
      <w:pPr>
        <w:pStyle w:val="NormalWeb"/>
        <w:spacing w:before="0" w:beforeAutospacing="0" w:after="0" w:afterAutospacing="0"/>
        <w:textAlignment w:val="center"/>
        <w:rPr>
          <w:rFonts w:ascii="Verdana" w:hAnsi="Verdana"/>
          <w:color w:val="1A092D"/>
          <w:position w:val="17"/>
          <w:sz w:val="20"/>
          <w:szCs w:val="20"/>
        </w:rPr>
      </w:pPr>
      <w:r>
        <w:rPr>
          <w:rFonts w:ascii="Verdana" w:hAnsi="Verdana"/>
          <w:color w:val="1A092D"/>
          <w:position w:val="17"/>
          <w:sz w:val="20"/>
          <w:szCs w:val="20"/>
        </w:rPr>
        <w:t xml:space="preserve">CBN has previously conveyed the implications of deferring premiums and remind you to discuss the best option for your customers as we trade through these conditions.  There will be some clients who will benefit from this option, specifically those with a temporary but significant drop in cashflow. The challenge is that the premium is still payable and may be followed up shortly after with the following year’s premium. </w:t>
      </w:r>
    </w:p>
    <w:p w14:paraId="4589D360" w14:textId="77777777" w:rsidR="00B81E4B" w:rsidRDefault="00B81E4B" w:rsidP="00B81E4B">
      <w:pPr>
        <w:pStyle w:val="NormalWeb"/>
        <w:spacing w:before="0" w:beforeAutospacing="0" w:after="0" w:afterAutospacing="0"/>
        <w:textAlignment w:val="center"/>
        <w:rPr>
          <w:rFonts w:ascii="Verdana" w:hAnsi="Verdana"/>
          <w:color w:val="1A092D"/>
          <w:position w:val="17"/>
          <w:sz w:val="20"/>
          <w:szCs w:val="20"/>
        </w:rPr>
      </w:pPr>
    </w:p>
    <w:p w14:paraId="0A809526" w14:textId="1284F858" w:rsidR="007615D8" w:rsidRDefault="007615D8" w:rsidP="00B81E4B">
      <w:pPr>
        <w:spacing w:before="0" w:after="0"/>
        <w:textAlignment w:val="center"/>
        <w:rPr>
          <w:rFonts w:cs="Calibri"/>
          <w:color w:val="1A092D"/>
          <w:position w:val="17"/>
          <w:sz w:val="20"/>
          <w:szCs w:val="20"/>
        </w:rPr>
      </w:pPr>
      <w:r>
        <w:rPr>
          <w:color w:val="1A092D"/>
          <w:position w:val="17"/>
          <w:sz w:val="20"/>
          <w:szCs w:val="20"/>
        </w:rPr>
        <w:t xml:space="preserve">CBN’s working group concluded the better solution for </w:t>
      </w:r>
      <w:proofErr w:type="gramStart"/>
      <w:r>
        <w:rPr>
          <w:color w:val="1A092D"/>
          <w:position w:val="17"/>
          <w:sz w:val="20"/>
          <w:szCs w:val="20"/>
        </w:rPr>
        <w:t>the majority of</w:t>
      </w:r>
      <w:proofErr w:type="gramEnd"/>
      <w:r>
        <w:rPr>
          <w:color w:val="1A092D"/>
          <w:position w:val="17"/>
          <w:sz w:val="20"/>
          <w:szCs w:val="20"/>
        </w:rPr>
        <w:t xml:space="preserve"> your clients is to begin (or continue) to pay monthly, either directly through the insurer or by way of premium funding. </w:t>
      </w:r>
    </w:p>
    <w:p w14:paraId="46B62C5C" w14:textId="77777777" w:rsidR="00B81E4B" w:rsidRDefault="00B81E4B" w:rsidP="00B81E4B">
      <w:pPr>
        <w:spacing w:before="0" w:after="0"/>
        <w:rPr>
          <w:sz w:val="20"/>
          <w:szCs w:val="20"/>
          <w:lang w:val="en-US"/>
        </w:rPr>
      </w:pPr>
    </w:p>
    <w:p w14:paraId="67BB93B3" w14:textId="15A40D32" w:rsidR="00B81E4B" w:rsidRPr="00B81E4B" w:rsidRDefault="00B81E4B" w:rsidP="00B81E4B">
      <w:pPr>
        <w:spacing w:before="0" w:after="0"/>
        <w:rPr>
          <w:color w:val="auto"/>
          <w:sz w:val="20"/>
          <w:szCs w:val="20"/>
          <w:lang w:val="en-US"/>
        </w:rPr>
      </w:pPr>
      <w:r w:rsidRPr="00B81E4B">
        <w:rPr>
          <w:sz w:val="20"/>
          <w:szCs w:val="20"/>
          <w:lang w:val="en-US"/>
        </w:rPr>
        <w:t xml:space="preserve">In the event a client </w:t>
      </w:r>
      <w:r w:rsidRPr="00B81E4B">
        <w:rPr>
          <w:sz w:val="20"/>
          <w:szCs w:val="20"/>
          <w:u w:val="single"/>
          <w:lang w:val="en-US"/>
        </w:rPr>
        <w:t>does</w:t>
      </w:r>
      <w:r w:rsidRPr="00B81E4B">
        <w:rPr>
          <w:sz w:val="20"/>
          <w:szCs w:val="20"/>
          <w:lang w:val="en-US"/>
        </w:rPr>
        <w:t xml:space="preserve"> want to defer payments, every insurer has a different package</w:t>
      </w:r>
      <w:r>
        <w:rPr>
          <w:sz w:val="20"/>
          <w:szCs w:val="20"/>
          <w:lang w:val="en-US"/>
        </w:rPr>
        <w:t>,</w:t>
      </w:r>
      <w:r w:rsidRPr="00B81E4B">
        <w:rPr>
          <w:sz w:val="20"/>
          <w:szCs w:val="20"/>
          <w:lang w:val="en-US"/>
        </w:rPr>
        <w:t xml:space="preserve"> so we request that you </w:t>
      </w:r>
    </w:p>
    <w:p w14:paraId="221E2840" w14:textId="77777777" w:rsidR="00B81E4B" w:rsidRPr="00B81E4B" w:rsidRDefault="00B81E4B" w:rsidP="00B81E4B">
      <w:pPr>
        <w:pStyle w:val="ListParagraph"/>
        <w:numPr>
          <w:ilvl w:val="0"/>
          <w:numId w:val="13"/>
        </w:numPr>
        <w:spacing w:before="0" w:after="0"/>
        <w:contextualSpacing w:val="0"/>
        <w:rPr>
          <w:sz w:val="20"/>
          <w:szCs w:val="20"/>
          <w:lang w:val="en-US"/>
        </w:rPr>
      </w:pPr>
      <w:r w:rsidRPr="00B81E4B">
        <w:rPr>
          <w:sz w:val="20"/>
          <w:szCs w:val="20"/>
          <w:lang w:val="en-US"/>
        </w:rPr>
        <w:t>apply directly to the insurer concerned for any variation</w:t>
      </w:r>
    </w:p>
    <w:p w14:paraId="79FADA24" w14:textId="77777777" w:rsidR="00B81E4B" w:rsidRPr="00B81E4B" w:rsidRDefault="00B81E4B" w:rsidP="00B81E4B">
      <w:pPr>
        <w:pStyle w:val="ListParagraph"/>
        <w:numPr>
          <w:ilvl w:val="0"/>
          <w:numId w:val="13"/>
        </w:numPr>
        <w:spacing w:before="0" w:after="0"/>
        <w:contextualSpacing w:val="0"/>
        <w:rPr>
          <w:sz w:val="20"/>
          <w:szCs w:val="20"/>
          <w:lang w:val="en-US"/>
        </w:rPr>
      </w:pPr>
      <w:r w:rsidRPr="00B81E4B">
        <w:rPr>
          <w:sz w:val="20"/>
          <w:szCs w:val="20"/>
          <w:lang w:val="en-US"/>
        </w:rPr>
        <w:t>complete the attached form so we can keep a record of the variation in terms applied for</w:t>
      </w:r>
    </w:p>
    <w:p w14:paraId="68778C98" w14:textId="278F8E71" w:rsidR="000550AF" w:rsidRPr="00591A7E" w:rsidRDefault="00B81E4B" w:rsidP="00B81E4B">
      <w:pPr>
        <w:pStyle w:val="Heading2"/>
        <w:spacing w:before="240" w:after="0"/>
        <w:rPr>
          <w:lang w:val="en-US"/>
        </w:rPr>
      </w:pPr>
      <w:r>
        <w:rPr>
          <w:lang w:val="en-US"/>
        </w:rPr>
        <w:t xml:space="preserve"> </w:t>
      </w:r>
      <w:r w:rsidR="007615D8">
        <w:rPr>
          <w:lang w:val="en-US"/>
        </w:rPr>
        <w:t>Please complete</w:t>
      </w:r>
    </w:p>
    <w:tbl>
      <w:tblPr>
        <w:tblStyle w:val="TableGrid"/>
        <w:tblW w:w="0" w:type="auto"/>
        <w:tblLook w:val="04A0" w:firstRow="1" w:lastRow="0" w:firstColumn="1" w:lastColumn="0" w:noHBand="0" w:noVBand="1"/>
      </w:tblPr>
      <w:tblGrid>
        <w:gridCol w:w="4616"/>
        <w:gridCol w:w="4616"/>
      </w:tblGrid>
      <w:tr w:rsidR="007615D8" w:rsidRPr="0039375C" w14:paraId="65C22AE9" w14:textId="77777777" w:rsidTr="007615D8">
        <w:tc>
          <w:tcPr>
            <w:tcW w:w="4616" w:type="dxa"/>
          </w:tcPr>
          <w:p w14:paraId="5A69010D" w14:textId="501FD665" w:rsidR="007615D8" w:rsidRPr="0039375C" w:rsidRDefault="007615D8" w:rsidP="00E338EB">
            <w:pPr>
              <w:rPr>
                <w:b/>
                <w:bCs/>
                <w:sz w:val="18"/>
                <w:szCs w:val="18"/>
                <w:lang w:val="en-US"/>
              </w:rPr>
            </w:pPr>
            <w:r w:rsidRPr="0039375C">
              <w:rPr>
                <w:b/>
                <w:bCs/>
                <w:sz w:val="18"/>
                <w:szCs w:val="18"/>
                <w:lang w:val="en-US"/>
              </w:rPr>
              <w:t>Brokerage</w:t>
            </w:r>
          </w:p>
        </w:tc>
        <w:tc>
          <w:tcPr>
            <w:tcW w:w="4616" w:type="dxa"/>
          </w:tcPr>
          <w:p w14:paraId="095A3C26" w14:textId="77777777" w:rsidR="007615D8" w:rsidRPr="0039375C" w:rsidRDefault="007615D8" w:rsidP="00E338EB">
            <w:pPr>
              <w:rPr>
                <w:sz w:val="18"/>
                <w:szCs w:val="18"/>
                <w:lang w:val="en-US"/>
              </w:rPr>
            </w:pPr>
          </w:p>
        </w:tc>
      </w:tr>
      <w:tr w:rsidR="007615D8" w:rsidRPr="0039375C" w14:paraId="6F79D0C5" w14:textId="77777777" w:rsidTr="007615D8">
        <w:tc>
          <w:tcPr>
            <w:tcW w:w="4616" w:type="dxa"/>
          </w:tcPr>
          <w:p w14:paraId="64F513D2" w14:textId="5112C4CE" w:rsidR="007615D8" w:rsidRPr="0039375C" w:rsidRDefault="007615D8" w:rsidP="00E338EB">
            <w:pPr>
              <w:rPr>
                <w:b/>
                <w:bCs/>
                <w:sz w:val="18"/>
                <w:szCs w:val="18"/>
                <w:lang w:val="en-US"/>
              </w:rPr>
            </w:pPr>
            <w:r w:rsidRPr="0039375C">
              <w:rPr>
                <w:b/>
                <w:bCs/>
                <w:sz w:val="18"/>
                <w:szCs w:val="18"/>
                <w:lang w:val="en-US"/>
              </w:rPr>
              <w:t>Name of Broker</w:t>
            </w:r>
          </w:p>
        </w:tc>
        <w:tc>
          <w:tcPr>
            <w:tcW w:w="4616" w:type="dxa"/>
          </w:tcPr>
          <w:p w14:paraId="29063DB3" w14:textId="77777777" w:rsidR="007615D8" w:rsidRPr="0039375C" w:rsidRDefault="007615D8" w:rsidP="00E338EB">
            <w:pPr>
              <w:rPr>
                <w:sz w:val="18"/>
                <w:szCs w:val="18"/>
                <w:lang w:val="en-US"/>
              </w:rPr>
            </w:pPr>
          </w:p>
        </w:tc>
      </w:tr>
      <w:tr w:rsidR="007615D8" w:rsidRPr="0039375C" w14:paraId="005E4AE5" w14:textId="77777777" w:rsidTr="007615D8">
        <w:tc>
          <w:tcPr>
            <w:tcW w:w="4616" w:type="dxa"/>
          </w:tcPr>
          <w:p w14:paraId="2F4B001E" w14:textId="04BC292A" w:rsidR="007615D8" w:rsidRPr="0039375C" w:rsidRDefault="007615D8" w:rsidP="00E338EB">
            <w:pPr>
              <w:rPr>
                <w:b/>
                <w:bCs/>
                <w:sz w:val="18"/>
                <w:szCs w:val="18"/>
                <w:lang w:val="en-US"/>
              </w:rPr>
            </w:pPr>
            <w:r w:rsidRPr="0039375C">
              <w:rPr>
                <w:b/>
                <w:bCs/>
                <w:sz w:val="18"/>
                <w:szCs w:val="18"/>
                <w:lang w:val="en-US"/>
              </w:rPr>
              <w:t>Name of Client</w:t>
            </w:r>
          </w:p>
        </w:tc>
        <w:tc>
          <w:tcPr>
            <w:tcW w:w="4616" w:type="dxa"/>
          </w:tcPr>
          <w:p w14:paraId="6B503DC3" w14:textId="77777777" w:rsidR="007615D8" w:rsidRPr="0039375C" w:rsidRDefault="007615D8" w:rsidP="00E338EB">
            <w:pPr>
              <w:rPr>
                <w:sz w:val="18"/>
                <w:szCs w:val="18"/>
                <w:lang w:val="en-US"/>
              </w:rPr>
            </w:pPr>
          </w:p>
        </w:tc>
      </w:tr>
      <w:tr w:rsidR="007615D8" w:rsidRPr="0039375C" w14:paraId="2663303B" w14:textId="77777777" w:rsidTr="007615D8">
        <w:tc>
          <w:tcPr>
            <w:tcW w:w="4616" w:type="dxa"/>
          </w:tcPr>
          <w:p w14:paraId="646C7452" w14:textId="73104D5F" w:rsidR="007615D8" w:rsidRPr="0039375C" w:rsidRDefault="007615D8" w:rsidP="00E338EB">
            <w:pPr>
              <w:rPr>
                <w:b/>
                <w:bCs/>
                <w:sz w:val="18"/>
                <w:szCs w:val="18"/>
                <w:lang w:val="en-US"/>
              </w:rPr>
            </w:pPr>
            <w:r w:rsidRPr="0039375C">
              <w:rPr>
                <w:b/>
                <w:bCs/>
                <w:sz w:val="18"/>
                <w:szCs w:val="18"/>
                <w:lang w:val="en-US"/>
              </w:rPr>
              <w:t>Policy Number</w:t>
            </w:r>
          </w:p>
        </w:tc>
        <w:tc>
          <w:tcPr>
            <w:tcW w:w="4616" w:type="dxa"/>
          </w:tcPr>
          <w:p w14:paraId="2FB74F1F" w14:textId="77777777" w:rsidR="007615D8" w:rsidRPr="0039375C" w:rsidRDefault="007615D8" w:rsidP="00E338EB">
            <w:pPr>
              <w:rPr>
                <w:sz w:val="18"/>
                <w:szCs w:val="18"/>
                <w:lang w:val="en-US"/>
              </w:rPr>
            </w:pPr>
          </w:p>
        </w:tc>
      </w:tr>
      <w:tr w:rsidR="007615D8" w:rsidRPr="0039375C" w14:paraId="6F2FAA93" w14:textId="77777777" w:rsidTr="007615D8">
        <w:tc>
          <w:tcPr>
            <w:tcW w:w="4616" w:type="dxa"/>
          </w:tcPr>
          <w:p w14:paraId="3BC8E4A6" w14:textId="7F90FCE5" w:rsidR="007615D8" w:rsidRPr="0039375C" w:rsidRDefault="007615D8" w:rsidP="00E338EB">
            <w:pPr>
              <w:rPr>
                <w:b/>
                <w:bCs/>
                <w:sz w:val="18"/>
                <w:szCs w:val="18"/>
                <w:lang w:val="en-US"/>
              </w:rPr>
            </w:pPr>
            <w:r w:rsidRPr="0039375C">
              <w:rPr>
                <w:b/>
                <w:bCs/>
                <w:sz w:val="18"/>
                <w:szCs w:val="18"/>
                <w:lang w:val="en-US"/>
              </w:rPr>
              <w:t>Expiry Date</w:t>
            </w:r>
          </w:p>
        </w:tc>
        <w:tc>
          <w:tcPr>
            <w:tcW w:w="4616" w:type="dxa"/>
          </w:tcPr>
          <w:p w14:paraId="24F89317" w14:textId="77777777" w:rsidR="007615D8" w:rsidRPr="0039375C" w:rsidRDefault="007615D8" w:rsidP="00E338EB">
            <w:pPr>
              <w:rPr>
                <w:sz w:val="18"/>
                <w:szCs w:val="18"/>
                <w:lang w:val="en-US"/>
              </w:rPr>
            </w:pPr>
          </w:p>
        </w:tc>
      </w:tr>
      <w:tr w:rsidR="007615D8" w:rsidRPr="0039375C" w14:paraId="5B3BDE5D" w14:textId="77777777" w:rsidTr="007615D8">
        <w:tc>
          <w:tcPr>
            <w:tcW w:w="4616" w:type="dxa"/>
          </w:tcPr>
          <w:p w14:paraId="026D9694" w14:textId="3AD5F151" w:rsidR="007615D8" w:rsidRPr="0039375C" w:rsidRDefault="007615D8" w:rsidP="00E338EB">
            <w:pPr>
              <w:rPr>
                <w:b/>
                <w:bCs/>
                <w:sz w:val="18"/>
                <w:szCs w:val="18"/>
                <w:lang w:val="en-US"/>
              </w:rPr>
            </w:pPr>
            <w:r w:rsidRPr="0039375C">
              <w:rPr>
                <w:b/>
                <w:bCs/>
                <w:sz w:val="18"/>
                <w:szCs w:val="18"/>
                <w:lang w:val="en-US"/>
              </w:rPr>
              <w:t>Type of policy</w:t>
            </w:r>
          </w:p>
        </w:tc>
        <w:tc>
          <w:tcPr>
            <w:tcW w:w="4616" w:type="dxa"/>
          </w:tcPr>
          <w:p w14:paraId="41364D2F" w14:textId="77777777" w:rsidR="007615D8" w:rsidRPr="0039375C" w:rsidRDefault="007615D8" w:rsidP="00E338EB">
            <w:pPr>
              <w:rPr>
                <w:sz w:val="18"/>
                <w:szCs w:val="18"/>
                <w:lang w:val="en-US"/>
              </w:rPr>
            </w:pPr>
          </w:p>
        </w:tc>
      </w:tr>
      <w:tr w:rsidR="007615D8" w:rsidRPr="0039375C" w14:paraId="010E45A0" w14:textId="77777777" w:rsidTr="007615D8">
        <w:tc>
          <w:tcPr>
            <w:tcW w:w="4616" w:type="dxa"/>
          </w:tcPr>
          <w:p w14:paraId="78E223A3" w14:textId="6921DECE" w:rsidR="007615D8" w:rsidRPr="0039375C" w:rsidRDefault="007615D8" w:rsidP="00E338EB">
            <w:pPr>
              <w:rPr>
                <w:b/>
                <w:bCs/>
                <w:sz w:val="18"/>
                <w:szCs w:val="18"/>
                <w:lang w:val="en-US"/>
              </w:rPr>
            </w:pPr>
            <w:r w:rsidRPr="0039375C">
              <w:rPr>
                <w:b/>
                <w:bCs/>
                <w:sz w:val="18"/>
                <w:szCs w:val="18"/>
                <w:lang w:val="en-US"/>
              </w:rPr>
              <w:t>Insurer</w:t>
            </w:r>
          </w:p>
        </w:tc>
        <w:tc>
          <w:tcPr>
            <w:tcW w:w="4616" w:type="dxa"/>
          </w:tcPr>
          <w:p w14:paraId="167E2997" w14:textId="77777777" w:rsidR="007615D8" w:rsidRPr="0039375C" w:rsidRDefault="007615D8" w:rsidP="00E338EB">
            <w:pPr>
              <w:rPr>
                <w:sz w:val="18"/>
                <w:szCs w:val="18"/>
                <w:lang w:val="en-US"/>
              </w:rPr>
            </w:pPr>
          </w:p>
        </w:tc>
      </w:tr>
      <w:tr w:rsidR="007615D8" w:rsidRPr="0039375C" w14:paraId="1027A7D7" w14:textId="77777777" w:rsidTr="007615D8">
        <w:tc>
          <w:tcPr>
            <w:tcW w:w="4616" w:type="dxa"/>
          </w:tcPr>
          <w:p w14:paraId="3A9D5254" w14:textId="1590260F" w:rsidR="007615D8" w:rsidRPr="0039375C" w:rsidRDefault="007615D8" w:rsidP="00E338EB">
            <w:pPr>
              <w:rPr>
                <w:b/>
                <w:bCs/>
                <w:sz w:val="18"/>
                <w:szCs w:val="18"/>
                <w:lang w:val="en-US"/>
              </w:rPr>
            </w:pPr>
            <w:r w:rsidRPr="0039375C">
              <w:rPr>
                <w:b/>
                <w:bCs/>
                <w:sz w:val="18"/>
                <w:szCs w:val="18"/>
                <w:lang w:val="en-US"/>
              </w:rPr>
              <w:t>Date applied for deferment approval</w:t>
            </w:r>
          </w:p>
        </w:tc>
        <w:tc>
          <w:tcPr>
            <w:tcW w:w="4616" w:type="dxa"/>
          </w:tcPr>
          <w:p w14:paraId="406C272C" w14:textId="77777777" w:rsidR="007615D8" w:rsidRPr="0039375C" w:rsidRDefault="007615D8" w:rsidP="00E338EB">
            <w:pPr>
              <w:rPr>
                <w:sz w:val="18"/>
                <w:szCs w:val="18"/>
                <w:lang w:val="en-US"/>
              </w:rPr>
            </w:pPr>
          </w:p>
        </w:tc>
      </w:tr>
      <w:tr w:rsidR="007615D8" w:rsidRPr="0039375C" w14:paraId="7462028D" w14:textId="77777777" w:rsidTr="007615D8">
        <w:tc>
          <w:tcPr>
            <w:tcW w:w="4616" w:type="dxa"/>
          </w:tcPr>
          <w:p w14:paraId="478469D9" w14:textId="4D122492" w:rsidR="007615D8" w:rsidRPr="0039375C" w:rsidRDefault="007615D8" w:rsidP="00E338EB">
            <w:pPr>
              <w:rPr>
                <w:b/>
                <w:bCs/>
                <w:sz w:val="18"/>
                <w:szCs w:val="18"/>
                <w:lang w:val="en-US"/>
              </w:rPr>
            </w:pPr>
            <w:r w:rsidRPr="0039375C">
              <w:rPr>
                <w:b/>
                <w:bCs/>
                <w:sz w:val="18"/>
                <w:szCs w:val="18"/>
                <w:lang w:val="en-US"/>
              </w:rPr>
              <w:t>Date approved by Insurer</w:t>
            </w:r>
          </w:p>
        </w:tc>
        <w:tc>
          <w:tcPr>
            <w:tcW w:w="4616" w:type="dxa"/>
          </w:tcPr>
          <w:p w14:paraId="3DDD786F" w14:textId="77777777" w:rsidR="007615D8" w:rsidRPr="0039375C" w:rsidRDefault="007615D8" w:rsidP="00E338EB">
            <w:pPr>
              <w:rPr>
                <w:sz w:val="18"/>
                <w:szCs w:val="18"/>
                <w:lang w:val="en-US"/>
              </w:rPr>
            </w:pPr>
          </w:p>
        </w:tc>
      </w:tr>
      <w:tr w:rsidR="007615D8" w:rsidRPr="0039375C" w14:paraId="496DE502" w14:textId="77777777" w:rsidTr="007615D8">
        <w:tc>
          <w:tcPr>
            <w:tcW w:w="4616" w:type="dxa"/>
          </w:tcPr>
          <w:p w14:paraId="1374EB18" w14:textId="5EC06389" w:rsidR="007615D8" w:rsidRPr="0039375C" w:rsidRDefault="00676297" w:rsidP="00E338EB">
            <w:pPr>
              <w:rPr>
                <w:b/>
                <w:bCs/>
                <w:sz w:val="18"/>
                <w:szCs w:val="18"/>
                <w:lang w:val="en-US"/>
              </w:rPr>
            </w:pPr>
            <w:r w:rsidRPr="0039375C">
              <w:rPr>
                <w:b/>
                <w:bCs/>
                <w:sz w:val="18"/>
                <w:szCs w:val="18"/>
                <w:lang w:val="en-US"/>
              </w:rPr>
              <w:t>Variation/</w:t>
            </w:r>
            <w:r w:rsidR="007615D8" w:rsidRPr="0039375C">
              <w:rPr>
                <w:b/>
                <w:bCs/>
                <w:sz w:val="18"/>
                <w:szCs w:val="18"/>
                <w:lang w:val="en-US"/>
              </w:rPr>
              <w:t>Terms provided (</w:t>
            </w:r>
            <w:proofErr w:type="spellStart"/>
            <w:r w:rsidR="007615D8" w:rsidRPr="0039375C">
              <w:rPr>
                <w:b/>
                <w:bCs/>
                <w:sz w:val="18"/>
                <w:szCs w:val="18"/>
                <w:lang w:val="en-US"/>
              </w:rPr>
              <w:t>eg</w:t>
            </w:r>
            <w:proofErr w:type="spellEnd"/>
            <w:r w:rsidR="007615D8" w:rsidRPr="0039375C">
              <w:rPr>
                <w:b/>
                <w:bCs/>
                <w:sz w:val="18"/>
                <w:szCs w:val="18"/>
                <w:lang w:val="en-US"/>
              </w:rPr>
              <w:t xml:space="preserve"> 3</w:t>
            </w:r>
            <w:r w:rsidR="00324913" w:rsidRPr="0039375C">
              <w:rPr>
                <w:b/>
                <w:bCs/>
                <w:sz w:val="18"/>
                <w:szCs w:val="18"/>
                <w:lang w:val="en-US"/>
              </w:rPr>
              <w:t>/6</w:t>
            </w:r>
            <w:r w:rsidR="007615D8" w:rsidRPr="0039375C">
              <w:rPr>
                <w:b/>
                <w:bCs/>
                <w:sz w:val="18"/>
                <w:szCs w:val="18"/>
                <w:lang w:val="en-US"/>
              </w:rPr>
              <w:t xml:space="preserve"> months</w:t>
            </w:r>
            <w:r w:rsidR="00324913" w:rsidRPr="0039375C">
              <w:rPr>
                <w:b/>
                <w:bCs/>
                <w:sz w:val="18"/>
                <w:szCs w:val="18"/>
                <w:lang w:val="en-US"/>
              </w:rPr>
              <w:t xml:space="preserve"> </w:t>
            </w:r>
            <w:proofErr w:type="spellStart"/>
            <w:r w:rsidR="00324913" w:rsidRPr="0039375C">
              <w:rPr>
                <w:b/>
                <w:bCs/>
                <w:sz w:val="18"/>
                <w:szCs w:val="18"/>
                <w:lang w:val="en-US"/>
              </w:rPr>
              <w:t>etc</w:t>
            </w:r>
            <w:proofErr w:type="spellEnd"/>
            <w:r w:rsidR="00324913" w:rsidRPr="0039375C">
              <w:rPr>
                <w:b/>
                <w:bCs/>
                <w:sz w:val="18"/>
                <w:szCs w:val="18"/>
                <w:lang w:val="en-US"/>
              </w:rPr>
              <w:t>)</w:t>
            </w:r>
          </w:p>
        </w:tc>
        <w:tc>
          <w:tcPr>
            <w:tcW w:w="4616" w:type="dxa"/>
          </w:tcPr>
          <w:p w14:paraId="076BB0E5" w14:textId="77777777" w:rsidR="007615D8" w:rsidRPr="0039375C" w:rsidRDefault="007615D8" w:rsidP="00E338EB">
            <w:pPr>
              <w:rPr>
                <w:sz w:val="18"/>
                <w:szCs w:val="18"/>
                <w:lang w:val="en-US"/>
              </w:rPr>
            </w:pPr>
          </w:p>
        </w:tc>
      </w:tr>
      <w:tr w:rsidR="00324913" w:rsidRPr="0039375C" w14:paraId="6B28A92F" w14:textId="77777777" w:rsidTr="007615D8">
        <w:tc>
          <w:tcPr>
            <w:tcW w:w="4616" w:type="dxa"/>
          </w:tcPr>
          <w:p w14:paraId="1B50FB73" w14:textId="57EECA41" w:rsidR="00324913" w:rsidRPr="0039375C" w:rsidRDefault="00324913" w:rsidP="00E338EB">
            <w:pPr>
              <w:rPr>
                <w:b/>
                <w:bCs/>
                <w:sz w:val="18"/>
                <w:szCs w:val="18"/>
                <w:lang w:val="en-US"/>
              </w:rPr>
            </w:pPr>
            <w:r w:rsidRPr="0039375C">
              <w:rPr>
                <w:b/>
                <w:bCs/>
                <w:sz w:val="18"/>
                <w:szCs w:val="18"/>
                <w:lang w:val="en-US"/>
              </w:rPr>
              <w:t>Other notes</w:t>
            </w:r>
          </w:p>
        </w:tc>
        <w:tc>
          <w:tcPr>
            <w:tcW w:w="4616" w:type="dxa"/>
          </w:tcPr>
          <w:p w14:paraId="0CCB37CF" w14:textId="77777777" w:rsidR="00324913" w:rsidRPr="0039375C" w:rsidRDefault="00324913" w:rsidP="00E338EB">
            <w:pPr>
              <w:rPr>
                <w:sz w:val="18"/>
                <w:szCs w:val="18"/>
                <w:lang w:val="en-US"/>
              </w:rPr>
            </w:pPr>
          </w:p>
        </w:tc>
        <w:bookmarkStart w:id="1" w:name="_GoBack"/>
        <w:bookmarkEnd w:id="1"/>
      </w:tr>
    </w:tbl>
    <w:p w14:paraId="5CA89747" w14:textId="57DCA375" w:rsidR="00324913" w:rsidRPr="00324913" w:rsidRDefault="00324913" w:rsidP="00E338EB">
      <w:pPr>
        <w:rPr>
          <w:b/>
          <w:bCs/>
          <w:lang w:val="en-US"/>
        </w:rPr>
      </w:pPr>
      <w:r w:rsidRPr="00526CE4">
        <w:rPr>
          <w:b/>
          <w:bCs/>
          <w:lang w:val="en-US"/>
        </w:rPr>
        <w:t xml:space="preserve">Please email this form to </w:t>
      </w:r>
      <w:hyperlink r:id="rId8" w:history="1">
        <w:r w:rsidR="00526CE4">
          <w:rPr>
            <w:rStyle w:val="Hyperlink"/>
          </w:rPr>
          <w:t>marketadmin@cbnet.com.au</w:t>
        </w:r>
      </w:hyperlink>
    </w:p>
    <w:sectPr w:rsidR="00324913" w:rsidRPr="00324913" w:rsidSect="00B81E4B">
      <w:headerReference w:type="default" r:id="rId9"/>
      <w:footerReference w:type="even" r:id="rId10"/>
      <w:footerReference w:type="default" r:id="rId11"/>
      <w:headerReference w:type="first" r:id="rId12"/>
      <w:pgSz w:w="11900" w:h="16840"/>
      <w:pgMar w:top="2183" w:right="1077" w:bottom="34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3673" w14:textId="77777777" w:rsidR="00151FA2" w:rsidRDefault="00151FA2" w:rsidP="00A605CC">
      <w:pPr>
        <w:spacing w:before="0" w:after="0"/>
      </w:pPr>
      <w:r>
        <w:separator/>
      </w:r>
    </w:p>
  </w:endnote>
  <w:endnote w:type="continuationSeparator" w:id="0">
    <w:p w14:paraId="738F0A9C" w14:textId="77777777" w:rsidR="00151FA2" w:rsidRDefault="00151FA2"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DE78" w14:textId="77777777"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E34EC7" w14:textId="77777777"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E331" w14:textId="77777777"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14:paraId="2EDFA3EC" w14:textId="77777777"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5F8A" w14:textId="77777777" w:rsidR="00151FA2" w:rsidRDefault="00151FA2" w:rsidP="00A605CC">
      <w:pPr>
        <w:spacing w:before="0" w:after="0"/>
      </w:pPr>
      <w:r>
        <w:separator/>
      </w:r>
    </w:p>
  </w:footnote>
  <w:footnote w:type="continuationSeparator" w:id="0">
    <w:p w14:paraId="163A7249" w14:textId="77777777" w:rsidR="00151FA2" w:rsidRDefault="00151FA2"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90D5" w14:textId="77777777" w:rsidR="00E338EB" w:rsidRDefault="00E338EB">
    <w:pPr>
      <w:pStyle w:val="Header"/>
    </w:pPr>
    <w:r>
      <w:rPr>
        <w:noProof/>
        <w:lang w:val="en-US"/>
      </w:rPr>
      <w:drawing>
        <wp:anchor distT="0" distB="0" distL="114300" distR="114300" simplePos="0" relativeHeight="251658752" behindDoc="1" locked="0" layoutInCell="1" allowOverlap="1" wp14:anchorId="547810DA" wp14:editId="1D2B661F">
          <wp:simplePos x="0" y="0"/>
          <wp:positionH relativeFrom="column">
            <wp:posOffset>-626546</wp:posOffset>
          </wp:positionH>
          <wp:positionV relativeFrom="paragraph">
            <wp:posOffset>-441960</wp:posOffset>
          </wp:positionV>
          <wp:extent cx="7543800" cy="10750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FA88" w14:textId="77777777" w:rsidR="00B77B03" w:rsidRDefault="00A712D5">
    <w:pPr>
      <w:pStyle w:val="Header"/>
    </w:pPr>
    <w:r>
      <w:rPr>
        <w:noProof/>
        <w:color w:val="1A092D" w:themeColor="text1"/>
        <w:szCs w:val="50"/>
        <w:lang w:val="en-US"/>
      </w:rPr>
      <mc:AlternateContent>
        <mc:Choice Requires="wps">
          <w:drawing>
            <wp:anchor distT="0" distB="0" distL="114300" distR="114300" simplePos="0" relativeHeight="251665920" behindDoc="0" locked="0" layoutInCell="1" allowOverlap="1" wp14:anchorId="24F96E75" wp14:editId="100F4504">
              <wp:simplePos x="0" y="0"/>
              <wp:positionH relativeFrom="page">
                <wp:posOffset>532130</wp:posOffset>
              </wp:positionH>
              <wp:positionV relativeFrom="paragraph">
                <wp:posOffset>1344295</wp:posOffset>
              </wp:positionV>
              <wp:extent cx="61722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B0EE2" w14:textId="6A5A6503" w:rsidR="00A712D5" w:rsidRPr="000550AF" w:rsidRDefault="007615D8" w:rsidP="00A712D5">
                          <w:pPr>
                            <w:pStyle w:val="Heading1"/>
                            <w:rPr>
                              <w:color w:val="FFFFFF"/>
                              <w:lang w:val="en-US"/>
                            </w:rPr>
                          </w:pPr>
                          <w:r>
                            <w:rPr>
                              <w:color w:val="FFFFFF"/>
                              <w:szCs w:val="50"/>
                              <w:lang w:val="en-US"/>
                            </w:rPr>
                            <w:t>Applying for Deferred Payments with an insurer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24F96E75" id="_x0000_t202" coordsize="21600,21600" o:spt="202" path="m,l,21600r21600,l21600,xe">
              <v:stroke joinstyle="miter"/>
              <v:path gradientshapeok="t" o:connecttype="rect"/>
            </v:shapetype>
            <v:shape id="Text Box 1" o:spid="_x0000_s1026" type="#_x0000_t202" style="position:absolute;margin-left:41.9pt;margin-top:105.85pt;width:486pt;height:126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" filled="f" stroked="f">
              <v:textbox>
                <w:txbxContent>
                  <w:p w14:paraId="129B0EE2" w14:textId="6A5A6503" w:rsidR="00A712D5" w:rsidRPr="000550AF" w:rsidRDefault="007615D8" w:rsidP="00A712D5">
                    <w:pPr>
                      <w:pStyle w:val="Heading1"/>
                      <w:rPr>
                        <w:color w:val="FFFFFF"/>
                        <w:lang w:val="en-US"/>
                      </w:rPr>
                    </w:pPr>
                    <w:r>
                      <w:rPr>
                        <w:color w:val="FFFFFF"/>
                        <w:szCs w:val="50"/>
                        <w:lang w:val="en-US"/>
                      </w:rPr>
                      <w:t>Applying for Deferred Payments with an insurer</w:t>
                    </w:r>
                  </w:p>
                </w:txbxContent>
              </v:textbox>
              <w10:wrap type="square" anchorx="page"/>
            </v:shape>
          </w:pict>
        </mc:Fallback>
      </mc:AlternateContent>
    </w:r>
    <w:r w:rsidR="00B77B03" w:rsidRPr="00B77B03">
      <w:rPr>
        <w:noProof/>
        <w:lang w:val="en-US"/>
      </w:rPr>
      <w:drawing>
        <wp:anchor distT="0" distB="0" distL="114300" distR="114300" simplePos="0" relativeHeight="251663872" behindDoc="0" locked="0" layoutInCell="1" allowOverlap="1" wp14:anchorId="34D75B02" wp14:editId="44CB2A2D">
          <wp:simplePos x="0" y="0"/>
          <wp:positionH relativeFrom="column">
            <wp:posOffset>-405765</wp:posOffset>
          </wp:positionH>
          <wp:positionV relativeFrom="paragraph">
            <wp:posOffset>-227330</wp:posOffset>
          </wp:positionV>
          <wp:extent cx="2650490" cy="1123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00B77B03" w:rsidRPr="00B77B03">
      <w:rPr>
        <w:noProof/>
        <w:lang w:val="en-US"/>
      </w:rPr>
      <mc:AlternateContent>
        <mc:Choice Requires="wps">
          <w:drawing>
            <wp:anchor distT="0" distB="0" distL="114300" distR="114300" simplePos="0" relativeHeight="251662848" behindDoc="0" locked="1" layoutInCell="1" allowOverlap="1" wp14:anchorId="411DE101" wp14:editId="324DC958">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14:paraId="6C400395" w14:textId="77777777"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11DE101"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" fillcolor="#0e0028" stroked="f">
              <v:textbox>
                <w:txbxContent>
                  <w:p w14:paraId="6C400395" w14:textId="77777777" w:rsidR="00B77B03" w:rsidRDefault="00B77B03" w:rsidP="00B77B03">
                    <w:pPr>
                      <w:jc w:val="center"/>
                    </w:pPr>
                  </w:p>
                </w:txbxContent>
              </v:textbox>
              <w10:wrap type="through"/>
              <w10:anchorlock/>
            </v:rect>
          </w:pict>
        </mc:Fallback>
      </mc:AlternateContent>
    </w:r>
    <w:r w:rsidR="00B77B03" w:rsidRPr="00B77B03">
      <w:rPr>
        <w:noProof/>
        <w:lang w:val="en-US"/>
      </w:rPr>
      <mc:AlternateContent>
        <mc:Choice Requires="wps">
          <w:drawing>
            <wp:anchor distT="0" distB="0" distL="114300" distR="114300" simplePos="0" relativeHeight="251661824" behindDoc="0" locked="1" layoutInCell="1" allowOverlap="1" wp14:anchorId="6D31F09C" wp14:editId="2FE880FE">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2ED2BC63" w14:textId="77777777"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31F09C"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3zpw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" filled="f" strokecolor="#9b9791" strokeweight="4.5pt">
              <v:textbox>
                <w:txbxContent>
                  <w:p w14:paraId="2ED2BC63" w14:textId="77777777" w:rsidR="00B77B03" w:rsidRDefault="00B77B03" w:rsidP="00B77B03">
                    <w:pPr>
                      <w:jc w:val="center"/>
                    </w:pPr>
                    <w:r>
                      <w:t xml:space="preserve">   </w:t>
                    </w:r>
                  </w:p>
                </w:txbxContent>
              </v:textbox>
              <w10:wrap type="tight"/>
              <w10:anchorlock/>
            </v:rect>
          </w:pict>
        </mc:Fallback>
      </mc:AlternateContent>
    </w:r>
    <w:r w:rsidR="00B77B03" w:rsidRPr="00B77B03">
      <w:rPr>
        <w:noProof/>
        <w:lang w:val="en-US"/>
      </w:rPr>
      <mc:AlternateContent>
        <mc:Choice Requires="wps">
          <w:drawing>
            <wp:anchor distT="0" distB="0" distL="114300" distR="114300" simplePos="0" relativeHeight="251660800" behindDoc="0" locked="1" layoutInCell="1" allowOverlap="1" wp14:anchorId="05A94E8B" wp14:editId="4B36DBCC">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12C57CA"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435B1"/>
    <w:multiLevelType w:val="hybridMultilevel"/>
    <w:tmpl w:val="EFC4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A7BE1"/>
    <w:multiLevelType w:val="hybridMultilevel"/>
    <w:tmpl w:val="6EE4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0645D"/>
    <w:multiLevelType w:val="hybridMultilevel"/>
    <w:tmpl w:val="0BCCF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A3001"/>
    <w:multiLevelType w:val="hybridMultilevel"/>
    <w:tmpl w:val="B192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A5D3F0C"/>
    <w:multiLevelType w:val="hybridMultilevel"/>
    <w:tmpl w:val="23C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12A1F"/>
    <w:multiLevelType w:val="hybridMultilevel"/>
    <w:tmpl w:val="58E6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E2616"/>
    <w:multiLevelType w:val="hybridMultilevel"/>
    <w:tmpl w:val="ADBA61AA"/>
    <w:lvl w:ilvl="0" w:tplc="4D72759C">
      <w:start w:val="1"/>
      <w:numFmt w:val="decimal"/>
      <w:lvlText w:val="%1."/>
      <w:lvlJc w:val="left"/>
      <w:pPr>
        <w:ind w:left="720" w:hanging="360"/>
      </w:pPr>
      <w:rPr>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99057A5"/>
    <w:multiLevelType w:val="hybridMultilevel"/>
    <w:tmpl w:val="1822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34D5"/>
    <w:multiLevelType w:val="hybridMultilevel"/>
    <w:tmpl w:val="2544E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 w:numId="8">
    <w:abstractNumId w:val="7"/>
  </w:num>
  <w:num w:numId="9">
    <w:abstractNumId w:val="11"/>
  </w:num>
  <w:num w:numId="10">
    <w:abstractNumId w:val="8"/>
  </w:num>
  <w:num w:numId="11">
    <w:abstractNumId w:val="1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AF"/>
    <w:rsid w:val="0001496C"/>
    <w:rsid w:val="00053DD1"/>
    <w:rsid w:val="000550AF"/>
    <w:rsid w:val="00093455"/>
    <w:rsid w:val="000B240D"/>
    <w:rsid w:val="000B3E75"/>
    <w:rsid w:val="000C73BD"/>
    <w:rsid w:val="000F3EDF"/>
    <w:rsid w:val="00137B26"/>
    <w:rsid w:val="00151142"/>
    <w:rsid w:val="00151FA2"/>
    <w:rsid w:val="001C308E"/>
    <w:rsid w:val="00214D88"/>
    <w:rsid w:val="00217FD4"/>
    <w:rsid w:val="00267675"/>
    <w:rsid w:val="00274D8F"/>
    <w:rsid w:val="00324913"/>
    <w:rsid w:val="003364F4"/>
    <w:rsid w:val="00342A1A"/>
    <w:rsid w:val="003448CB"/>
    <w:rsid w:val="0039375C"/>
    <w:rsid w:val="00403A61"/>
    <w:rsid w:val="00463C57"/>
    <w:rsid w:val="00472995"/>
    <w:rsid w:val="004968A6"/>
    <w:rsid w:val="004A0F6D"/>
    <w:rsid w:val="004C0A50"/>
    <w:rsid w:val="004C50A7"/>
    <w:rsid w:val="004D4923"/>
    <w:rsid w:val="005152F3"/>
    <w:rsid w:val="00526CE4"/>
    <w:rsid w:val="00536E96"/>
    <w:rsid w:val="00545B3E"/>
    <w:rsid w:val="00554BCB"/>
    <w:rsid w:val="00591A7E"/>
    <w:rsid w:val="005C32E0"/>
    <w:rsid w:val="005E439B"/>
    <w:rsid w:val="00654B6B"/>
    <w:rsid w:val="00674127"/>
    <w:rsid w:val="00676297"/>
    <w:rsid w:val="006F1B62"/>
    <w:rsid w:val="00760283"/>
    <w:rsid w:val="007615D8"/>
    <w:rsid w:val="007A36BC"/>
    <w:rsid w:val="007B280F"/>
    <w:rsid w:val="007C1250"/>
    <w:rsid w:val="007E6894"/>
    <w:rsid w:val="00806026"/>
    <w:rsid w:val="0082552C"/>
    <w:rsid w:val="00843CFA"/>
    <w:rsid w:val="00844422"/>
    <w:rsid w:val="00894044"/>
    <w:rsid w:val="008C3D27"/>
    <w:rsid w:val="008E4198"/>
    <w:rsid w:val="00914CA8"/>
    <w:rsid w:val="0092046C"/>
    <w:rsid w:val="0095370E"/>
    <w:rsid w:val="00982818"/>
    <w:rsid w:val="009A0131"/>
    <w:rsid w:val="009A63C5"/>
    <w:rsid w:val="009E4D5D"/>
    <w:rsid w:val="009F2212"/>
    <w:rsid w:val="00A33A27"/>
    <w:rsid w:val="00A605CC"/>
    <w:rsid w:val="00A712D5"/>
    <w:rsid w:val="00AE4AFF"/>
    <w:rsid w:val="00B03E86"/>
    <w:rsid w:val="00B3051F"/>
    <w:rsid w:val="00B748AC"/>
    <w:rsid w:val="00B77B03"/>
    <w:rsid w:val="00B81E4B"/>
    <w:rsid w:val="00B90FB7"/>
    <w:rsid w:val="00BA3E99"/>
    <w:rsid w:val="00BD3A9A"/>
    <w:rsid w:val="00BE06ED"/>
    <w:rsid w:val="00C02AD1"/>
    <w:rsid w:val="00C07492"/>
    <w:rsid w:val="00C12B98"/>
    <w:rsid w:val="00C21B5B"/>
    <w:rsid w:val="00C523BB"/>
    <w:rsid w:val="00C72478"/>
    <w:rsid w:val="00D45AE4"/>
    <w:rsid w:val="00D945A0"/>
    <w:rsid w:val="00E04072"/>
    <w:rsid w:val="00E3038C"/>
    <w:rsid w:val="00E338EB"/>
    <w:rsid w:val="00E36A3B"/>
    <w:rsid w:val="00E37090"/>
    <w:rsid w:val="00E370B7"/>
    <w:rsid w:val="00E44036"/>
    <w:rsid w:val="00E562E1"/>
    <w:rsid w:val="00E77F83"/>
    <w:rsid w:val="00E803C3"/>
    <w:rsid w:val="00EB13E1"/>
    <w:rsid w:val="00EE42F7"/>
    <w:rsid w:val="00F06E51"/>
    <w:rsid w:val="00F07736"/>
    <w:rsid w:val="00F355EA"/>
    <w:rsid w:val="00F9183D"/>
    <w:rsid w:val="00FB47E6"/>
    <w:rsid w:val="00FB56AD"/>
    <w:rsid w:val="00FE0F55"/>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F6469"/>
  <w14:defaultImageDpi w14:val="300"/>
  <w15:docId w15:val="{B47EED4C-A0E0-4CDA-87AD-3EE180A4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ListParagraph">
    <w:name w:val="List Paragraph"/>
    <w:basedOn w:val="Normal"/>
    <w:uiPriority w:val="34"/>
    <w:qFormat/>
    <w:rsid w:val="000550AF"/>
    <w:pPr>
      <w:ind w:left="720"/>
      <w:contextualSpacing/>
    </w:pPr>
  </w:style>
  <w:style w:type="character" w:styleId="CommentReference">
    <w:name w:val="annotation reference"/>
    <w:basedOn w:val="DefaultParagraphFont"/>
    <w:uiPriority w:val="99"/>
    <w:semiHidden/>
    <w:unhideWhenUsed/>
    <w:rsid w:val="009A0131"/>
    <w:rPr>
      <w:sz w:val="16"/>
      <w:szCs w:val="16"/>
    </w:rPr>
  </w:style>
  <w:style w:type="paragraph" w:styleId="CommentText">
    <w:name w:val="annotation text"/>
    <w:basedOn w:val="Normal"/>
    <w:link w:val="CommentTextChar"/>
    <w:uiPriority w:val="99"/>
    <w:semiHidden/>
    <w:unhideWhenUsed/>
    <w:rsid w:val="009A0131"/>
    <w:rPr>
      <w:sz w:val="20"/>
      <w:szCs w:val="20"/>
    </w:rPr>
  </w:style>
  <w:style w:type="character" w:customStyle="1" w:styleId="CommentTextChar">
    <w:name w:val="Comment Text Char"/>
    <w:basedOn w:val="DefaultParagraphFont"/>
    <w:link w:val="CommentText"/>
    <w:uiPriority w:val="99"/>
    <w:semiHidden/>
    <w:rsid w:val="009A0131"/>
    <w:rPr>
      <w:rFonts w:ascii="Verdana" w:hAnsi="Verdana"/>
      <w:color w:val="0E0028"/>
      <w:sz w:val="20"/>
      <w:szCs w:val="20"/>
    </w:rPr>
  </w:style>
  <w:style w:type="paragraph" w:styleId="CommentSubject">
    <w:name w:val="annotation subject"/>
    <w:basedOn w:val="CommentText"/>
    <w:next w:val="CommentText"/>
    <w:link w:val="CommentSubjectChar"/>
    <w:uiPriority w:val="99"/>
    <w:semiHidden/>
    <w:unhideWhenUsed/>
    <w:rsid w:val="009A0131"/>
    <w:rPr>
      <w:b/>
      <w:bCs/>
    </w:rPr>
  </w:style>
  <w:style w:type="character" w:customStyle="1" w:styleId="CommentSubjectChar">
    <w:name w:val="Comment Subject Char"/>
    <w:basedOn w:val="CommentTextChar"/>
    <w:link w:val="CommentSubject"/>
    <w:uiPriority w:val="99"/>
    <w:semiHidden/>
    <w:rsid w:val="009A0131"/>
    <w:rPr>
      <w:rFonts w:ascii="Verdana" w:hAnsi="Verdana"/>
      <w:b/>
      <w:bCs/>
      <w:color w:val="0E0028"/>
      <w:sz w:val="20"/>
      <w:szCs w:val="20"/>
    </w:rPr>
  </w:style>
  <w:style w:type="paragraph" w:styleId="NormalWeb">
    <w:name w:val="Normal (Web)"/>
    <w:basedOn w:val="Normal"/>
    <w:uiPriority w:val="99"/>
    <w:semiHidden/>
    <w:unhideWhenUsed/>
    <w:rsid w:val="007615D8"/>
    <w:pPr>
      <w:spacing w:before="100" w:beforeAutospacing="1" w:after="100" w:afterAutospacing="1"/>
    </w:pPr>
    <w:rPr>
      <w:rFonts w:ascii="Calibri" w:eastAsia="Times New Roman"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4636">
      <w:bodyDiv w:val="1"/>
      <w:marLeft w:val="0"/>
      <w:marRight w:val="0"/>
      <w:marTop w:val="0"/>
      <w:marBottom w:val="0"/>
      <w:divBdr>
        <w:top w:val="none" w:sz="0" w:space="0" w:color="auto"/>
        <w:left w:val="none" w:sz="0" w:space="0" w:color="auto"/>
        <w:bottom w:val="none" w:sz="0" w:space="0" w:color="auto"/>
        <w:right w:val="none" w:sz="0" w:space="0" w:color="auto"/>
      </w:divBdr>
    </w:div>
    <w:div w:id="106614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dmin@cbnet.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nda.webster\Documents\Custom%20Office%20Templates\CBN%20Word%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9E3C-1A6B-4894-974C-33562D97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Word Template</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Lorinda Webster-Brooking</dc:creator>
  <cp:keywords/>
  <dc:description/>
  <cp:lastModifiedBy>Tahlia Coulon</cp:lastModifiedBy>
  <cp:revision>2</cp:revision>
  <dcterms:created xsi:type="dcterms:W3CDTF">2020-04-09T06:18:00Z</dcterms:created>
  <dcterms:modified xsi:type="dcterms:W3CDTF">2020-04-09T06:18:00Z</dcterms:modified>
</cp:coreProperties>
</file>